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653.xml.htm"/>
      <w:bookmarkStart w:id="1" w:name="kswkform4_17776666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Marcus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 WACKER DRIVE SUITE 4200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INDUSTRIAL REALTY TRUST INC</w:t>
              </w:r>
            </w:hyperlink>
            <w:r>
              <w:rPr/>
              <w:t xml:space="preserve"> [ </w:t>
            </w:r>
            <w:r>
              <w:rPr>
                <w:rFonts w:ascii="Times;serif" w:hAnsi="Times;serif"/>
                <w:color w:val="0000FF"/>
                <w:sz w:val="24"/>
                <w:shd w:fill="FFFFFF" w:val="clear"/>
              </w:rPr>
              <w:t>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units of limited partnership interest ("LP Units") in First Industrial L.P., of which the Company is the general partner, granted under the Company's 2024 Stock Incentive Plan. An LP Unit that has vested and received certain allocations will automatically convert into a common unit of limited partnership interest in First Industrial, L.P. on a one-for-one basis, which common unit may in turn be converted into a share of Common Stock of the Company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The LP Units vest upon the earlier of (i) the first anniversary of grant or (ii) the Company's next annual stockholder meeting following the date of grant where directors are elected.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Matthews Rice,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8950" TargetMode="External"/><Relationship Id="rId5" Type="http://schemas.openxmlformats.org/officeDocument/2006/relationships/hyperlink" Target="http://www.sec.gov/cgi-bin/browse-edgar?action=getcompany&amp;CIK=0000921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3670</Characters>
  <CharactersWithSpaces>4290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