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w:t>
      </w:r>
    </w:p>
    <w:p>
      <w:pPr>
        <w:pStyle w:val="TextBody"/>
        <w:bidi w:val="0"/>
        <w:spacing w:lineRule="auto" w:line="288" w:before="100" w:after="283"/>
        <w:jc w:val="center"/>
        <w:rPr>
          <w:rFonts w:ascii="Times New Roman;serif" w:hAnsi="Times New Roman;serif"/>
          <w:b/>
          <w:color w:val="000000"/>
          <w:sz w:val="34"/>
        </w:rPr>
      </w:pPr>
      <w:r>
        <w:rPr>
          <w:rFonts w:ascii="Times New Roman;serif" w:hAnsi="Times New Roman;serif"/>
          <w:b/>
          <w:color w:val="000000"/>
          <w:sz w:val="34"/>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 the quarterly period ended June 30, 2026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transition period from            to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 xml:space="preserve">Commission File Number: 1-13102 (First Industrial Realty Trust, Inc.)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333-21873 (First Industrial, L.P.)</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w:t>
      </w:r>
    </w:p>
    <w:p>
      <w:pPr>
        <w:pStyle w:val="TextBody"/>
        <w:bidi w:val="0"/>
        <w:spacing w:before="0" w:after="0"/>
        <w:jc w:val="center"/>
        <w:rPr/>
      </w:pPr>
      <w:r>
        <w:rPr/>
        <w:drawing>
          <wp:inline distT="0" distB="0" distL="0" distR="0">
            <wp:extent cx="21145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7620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FIRST INDUSTRIAL REALTY TRUST,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FIRST INDUSTRIAL, L.P.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6578" w:type="dxa"/>
        <w:jc w:val="center"/>
        <w:tblInd w:w="0" w:type="dxa"/>
        <w:tblLayout w:type="fixed"/>
        <w:tblCellMar>
          <w:top w:w="28" w:type="dxa"/>
          <w:left w:w="28" w:type="dxa"/>
          <w:bottom w:w="28" w:type="dxa"/>
          <w:right w:w="28" w:type="dxa"/>
        </w:tblCellMar>
      </w:tblPr>
      <w:tblGrid>
        <w:gridCol w:w="982"/>
        <w:gridCol w:w="865"/>
        <w:gridCol w:w="868"/>
        <w:gridCol w:w="109"/>
        <w:gridCol w:w="109"/>
        <w:gridCol w:w="109"/>
        <w:gridCol w:w="652"/>
        <w:gridCol w:w="652"/>
        <w:gridCol w:w="660"/>
        <w:gridCol w:w="109"/>
        <w:gridCol w:w="109"/>
        <w:gridCol w:w="109"/>
        <w:gridCol w:w="364"/>
        <w:gridCol w:w="364"/>
        <w:gridCol w:w="517"/>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 Industrial Realty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36-3935116</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 Industrial,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36-3924586</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One North Wacker Drive, Suite 4200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Chicago, Illinois, 60606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 xml:space="preserve">(312) 344-4300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180"/>
        <w:jc w:val="center"/>
        <w:rPr>
          <w:color w:val="000000"/>
        </w:rPr>
      </w:pPr>
      <w:r>
        <w:rPr>
          <w:color w:val="000000"/>
        </w:rPr>
        <w:t> </w:t>
      </w:r>
      <w:r>
        <w:rPr>
          <w:rFonts w:ascii="Times New Roman;serif" w:hAnsi="Times New Roman;serif"/>
          <w:b w:val="false"/>
          <w:color w:val="000000"/>
          <w:sz w:val="20"/>
        </w:rPr>
        <w:t>_______________________________ </w:t>
      </w:r>
    </w:p>
    <w:tbl>
      <w:tblPr>
        <w:tblW w:w="8947"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519"/>
        <w:gridCol w:w="519"/>
        <w:gridCol w:w="521"/>
        <w:gridCol w:w="109"/>
        <w:gridCol w:w="109"/>
        <w:gridCol w:w="109"/>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4248"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tbl>
      <w:tblPr>
        <w:tblW w:w="4248"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9629" w:type="dxa"/>
        <w:jc w:val="left"/>
        <w:tblInd w:w="0" w:type="dxa"/>
        <w:tblLayout w:type="fixed"/>
        <w:tblCellMar>
          <w:top w:w="28" w:type="dxa"/>
          <w:left w:w="28" w:type="dxa"/>
          <w:bottom w:w="28" w:type="dxa"/>
          <w:right w:w="28" w:type="dxa"/>
        </w:tblCellMar>
      </w:tblPr>
      <w:tblGrid>
        <w:gridCol w:w="939"/>
        <w:gridCol w:w="826"/>
        <w:gridCol w:w="829"/>
        <w:gridCol w:w="109"/>
        <w:gridCol w:w="109"/>
        <w:gridCol w:w="109"/>
        <w:gridCol w:w="109"/>
        <w:gridCol w:w="109"/>
        <w:gridCol w:w="109"/>
        <w:gridCol w:w="109"/>
        <w:gridCol w:w="109"/>
        <w:gridCol w:w="109"/>
        <w:gridCol w:w="1113"/>
        <w:gridCol w:w="1113"/>
        <w:gridCol w:w="1118"/>
        <w:gridCol w:w="669"/>
        <w:gridCol w:w="669"/>
        <w:gridCol w:w="673"/>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 not check if a smaller reporting company)</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5" w:type="dxa"/>
        <w:jc w:val="left"/>
        <w:tblInd w:w="0" w:type="dxa"/>
        <w:tblLayout w:type="fixed"/>
        <w:tblCellMar>
          <w:top w:w="28" w:type="dxa"/>
          <w:left w:w="28" w:type="dxa"/>
          <w:bottom w:w="28" w:type="dxa"/>
          <w:right w:w="28" w:type="dxa"/>
        </w:tblCellMar>
      </w:tblPr>
      <w:tblGrid>
        <w:gridCol w:w="737"/>
        <w:gridCol w:w="648"/>
        <w:gridCol w:w="655"/>
        <w:gridCol w:w="109"/>
        <w:gridCol w:w="109"/>
        <w:gridCol w:w="109"/>
        <w:gridCol w:w="109"/>
        <w:gridCol w:w="109"/>
        <w:gridCol w:w="109"/>
        <w:gridCol w:w="109"/>
        <w:gridCol w:w="109"/>
        <w:gridCol w:w="109"/>
        <w:gridCol w:w="1113"/>
        <w:gridCol w:w="1113"/>
        <w:gridCol w:w="1118"/>
        <w:gridCol w:w="669"/>
        <w:gridCol w:w="669"/>
        <w:gridCol w:w="673"/>
        <w:gridCol w:w="109"/>
        <w:gridCol w:w="109"/>
        <w:gridCol w:w="109"/>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 not check if a smaller reporting company)</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3921"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4248"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At July 23, 2026, 132,572,946 shares of First Industrial Realty Trust, Inc.'s Common Stock, $0.01 par value, were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period ended June 30, 2026 of First Industrial Realty Trust, Inc., a Maryland corporation (the "Company"), and First Industrial, L.P., a Delaware limited partnership (the "Operating Partnership"). Unless stated otherwise or the context otherwise requires, the terms "we," "our" and "us" refer to the Company and its subsidiaries, including the Operating Partnership and its consolidated subsidiaries.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real estate investment trust and the general partner of the Operating Partnership. At June 30, 2026, the Company owned an approximate 96.7% common general partnership interest in the Operating Partnership. The remaining approximate 3.3% common limited partnership interests in the Operating Partnership are owned by limited partners. The limited partners of the Operating Partnership primarily include persons or entities who contributed their direct or indirect interests in properties to the Operating Partnership in exchange for limited partnership interests in the Operating Partnership and recipients of RLP Units (as defined in Note 6 to the Consolidated Financial Statements) of the Operating Partnership pursuant to the Company's stock incentive plan. As the sole general partner of the Operating Partnership, the Company exercises exclusive and complete discretion over the Operating Partnership's day-to-day management and control and can cause it to enter into certain major transactions, including acquisitions, dispositions and refinancings. The management of the Company consists of the same members as the management of the Operating Partnership.</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Operating Partnership are managed and operated as one enterprise. The financial results of the Operating Partnership are consolidated into the financial statements of the Company. The Company has no significant assets other than its investment in the Operating Partnership. Substantially all of the Company's assets are held by, and its operations are conducted through, the Operating Partnership and its subsidiaries. Therefore, the assets and liabilities of the Company and the Operating Partnership are substantially the same.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it is important to understand the differences between the Company and the Operating Partnership in the context of how the Company and the Operating Partnership operate as an interrelated, consolidated company. The main areas of difference between the Consolidated Financial Statements of the Company and those of the Operating Partnership are: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Equity, Noncontrolling Interest and Partners' Capital.</w:t>
      </w:r>
      <w:r>
        <w:rPr>
          <w:color w:val="000000"/>
        </w:rPr>
        <w:t xml:space="preserve"> </w:t>
      </w:r>
      <w:r>
        <w:rPr>
          <w:rFonts w:ascii="Times New Roman;serif" w:hAnsi="Times New Roman;serif"/>
          <w:b w:val="false"/>
          <w:color w:val="000000"/>
          <w:sz w:val="20"/>
        </w:rPr>
        <w:t xml:space="preserve">The 3.3% equity interest in the Operating Partnership held by persons or entities other than the Company is classified as limited partners units in the Operating Partnership's financial statements and as a noncontrolling interest in the Company's financial statements.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Relationship to Other Real Estate Partnerships.</w:t>
      </w:r>
      <w:r>
        <w:rPr>
          <w:color w:val="000000"/>
        </w:rPr>
        <w:t xml:space="preserve"> </w:t>
      </w:r>
      <w:r>
        <w:rPr>
          <w:rFonts w:ascii="Times New Roman;serif" w:hAnsi="Times New Roman;serif"/>
          <w:b w:val="false"/>
          <w:color w:val="000000"/>
          <w:sz w:val="20"/>
        </w:rPr>
        <w:t>The Company's operations are primarily conducted through the Operating Partnership and its subsidiaries. Additionally, several other limited partnerships, referred to as the "Other Real Estate Partnerships," also contribute to operations. In each of these partnerships, the Operating Partnership is a limited partner, holding at least a 99% interest, while the Company acts as general partner, holding at least a .01% interest, held through several separate wholly-owned corporations. The Other Real Estate Partnerships are variable interest entities consolidated by both the Company and the Operating Partnership. The Company's direct general partnership interests in the Other Real Estate Partnerships are reflected as noncontrolling interests within the Operating Partnership's financial statements.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Relationship to Service Subsidiary.</w:t>
      </w:r>
      <w:r>
        <w:rPr>
          <w:color w:val="000000"/>
        </w:rPr>
        <w:t xml:space="preserve"> </w:t>
      </w:r>
      <w:r>
        <w:rPr>
          <w:rFonts w:ascii="Times New Roman;serif" w:hAnsi="Times New Roman;serif"/>
          <w:b w:val="false"/>
          <w:color w:val="000000"/>
          <w:sz w:val="20"/>
        </w:rPr>
        <w:t xml:space="preserve">The Company has a direct wholly-owned subsidiary that does not own any real estate but provides services to various entities owned by the Company. Since the Operating Partnership does not hold an ownership interest in this entity, its operations are reflected in the consolidated results of the Company but not in those of the Operating Partnership. Also, this entity has outstanding obligations to the Operating Partnership, which are recorded as a receivable on the Operating Partnership's balance sheet but is eliminated on the Company's Consolidated Balance Sheet, since both this entity and the Operating Partnership are fully consolidated by the Company.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combining the Company's and Operating Partnership's quarterly reports into this single report results in the following benefits: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enhances investors' understanding of the Company and the Operating Partnership by enabling them to view the business as a whole and in the same manner as management views and operates the business;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creates time and cost efficiencies through the preparation of one combined report instead of two separate reports;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eliminates duplicative disclosures and provides a more streamlined and readable presentation since a substantial portion of the Company's disclosure applies to both the Company and the Operating Partnership. </w:t>
      </w:r>
    </w:p>
    <w:p>
      <w:pPr>
        <w:pStyle w:val="TextBody"/>
        <w:bidi w:val="0"/>
        <w:spacing w:before="18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help investors understand the differences between the Company and the Operating Partnership, this report provides the following disclosures for each of the Company and the Operating Partnership: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Consolidated Financial Statements;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single set of consolidated notes to such financial statements that includes separate discussions of each entity's equity or partners' capital, as applicable;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 combined Management's Discussion and Analysis of Financial Condition and Results of Operations section that includes distinct information related to each entity.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also includes separate Part I, Item 4, Controls and Procedures sections and separate Exhibit 31 and 32 certifications for the Company and the Operating Partnership in order to establish that the requisite certifications have been made and that the Company and the Operating Partnership are both compliant with Rule 13a-15 and Rule 15d-15 of the Securities Exchange Act of 1934, as amended, and 18 U.S.C. §1350.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 AND 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88"/>
        <w:gridCol w:w="516"/>
        <w:gridCol w:w="516"/>
        <w:gridCol w:w="2693"/>
        <w:gridCol w:w="2666"/>
        <w:gridCol w:w="2711"/>
        <w:gridCol w:w="149"/>
        <w:gridCol w:w="149"/>
        <w:gridCol w:w="217"/>
      </w:tblGrid>
      <w:tr>
        <w:trPr/>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3">
              <w:r>
                <w:rPr>
                  <w:rStyle w:val="InternetLink"/>
                  <w:rFonts w:ascii="Times New Roman;serif" w:hAnsi="Times New Roman;serif"/>
                  <w:b/>
                  <w:color w:val="0000FF"/>
                  <w:sz w:val="18"/>
                  <w:u w:val="single"/>
                </w:rPr>
                <w:t>PART I: FINANCIAL INFORMATION</w:t>
              </w:r>
            </w:hyperlink>
          </w:p>
        </w:tc>
        <w:tc>
          <w:tcPr>
            <w:tcW w:w="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09bb359f38e244eea49c9aca4f686232_13">
              <w:r>
                <w:rPr>
                  <w:rStyle w:val="InternetLink"/>
                  <w:rFonts w:ascii="Times New Roman;serif" w:hAnsi="Times New Roman;serif"/>
                  <w:b w:val="false"/>
                  <w:color w:val="0000FF"/>
                  <w:sz w:val="18"/>
                  <w:u w:val="single"/>
                </w:rPr>
                <w:t>3</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
              <w:r>
                <w:rPr>
                  <w:rStyle w:val="InternetLink"/>
                  <w:rFonts w:ascii="Times New Roman;serif" w:hAnsi="Times New Roman;serif"/>
                  <w:b w:val="false"/>
                  <w:color w:val="0000FF"/>
                  <w:sz w:val="18"/>
                  <w:u w:val="single"/>
                </w:rPr>
                <w:t>Item 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
              <w:r>
                <w:rPr>
                  <w:rStyle w:val="InternetLink"/>
                  <w:rFonts w:ascii="Times New Roman;serif" w:hAnsi="Times New Roman;serif"/>
                  <w:b w:val="false"/>
                  <w:color w:val="0000FF"/>
                  <w:sz w:val="18"/>
                  <w:u w:val="singl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6">
              <w:r>
                <w:rPr>
                  <w:rStyle w:val="InternetLink"/>
                  <w:rFonts w:ascii="Times New Roman;serif" w:hAnsi="Times New Roman;serif"/>
                  <w:b w:val="false"/>
                  <w:color w:val="0000FF"/>
                  <w:sz w:val="18"/>
                  <w:u w:val="single"/>
                </w:rPr>
                <w:t>3</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First Industrial Realty Trust, Inc.</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9">
              <w:r>
                <w:rPr>
                  <w:rStyle w:val="InternetLink"/>
                  <w:rFonts w:ascii="Times New Roman;serif" w:hAnsi="Times New Roman;serif"/>
                  <w:b w:val="false"/>
                  <w:color w:val="0000FF"/>
                  <w:sz w:val="18"/>
                  <w:u w:val="single"/>
                </w:rPr>
                <w:t>Consolidated Balance Sheets as of June 30, 2026 and December 31,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9">
              <w:r>
                <w:rPr>
                  <w:rStyle w:val="InternetLink"/>
                  <w:rFonts w:ascii="Times New Roman;serif" w:hAnsi="Times New Roman;serif"/>
                  <w:b w:val="false"/>
                  <w:color w:val="0000FF"/>
                  <w:sz w:val="18"/>
                  <w:u w:val="single"/>
                </w:rPr>
                <w:t>3</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25">
              <w:r>
                <w:rPr>
                  <w:rStyle w:val="InternetLink"/>
                  <w:rFonts w:ascii="Times New Roman;serif" w:hAnsi="Times New Roman;serif"/>
                  <w:b w:val="false"/>
                  <w:color w:val="0000FF"/>
                  <w:sz w:val="18"/>
                  <w:u w:val="single"/>
                </w:rPr>
                <w:t>Consolidated Statements of Operations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25">
              <w:r>
                <w:rPr>
                  <w:rStyle w:val="InternetLink"/>
                  <w:rFonts w:ascii="Times New Roman;serif" w:hAnsi="Times New Roman;serif"/>
                  <w:b w:val="false"/>
                  <w:color w:val="0000FF"/>
                  <w:sz w:val="18"/>
                  <w:u w:val="single"/>
                </w:rPr>
                <w:t>4</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9bb359f38e244eea49c9aca4f686232_28">
              <w:r>
                <w:rPr>
                  <w:rStyle w:val="InternetLink"/>
                  <w:rFonts w:ascii="Times New Roman;serif" w:hAnsi="Times New Roman;serif"/>
                  <w:b w:val="false"/>
                  <w:color w:val="0000FF"/>
                  <w:sz w:val="18"/>
                  <w:u w:val="single"/>
                </w:rPr>
                <w:t>Consolidated Statements of Comprehensive Income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28">
              <w:r>
                <w:rPr>
                  <w:rStyle w:val="InternetLink"/>
                  <w:rFonts w:ascii="Times New Roman;serif" w:hAnsi="Times New Roman;serif"/>
                  <w:b w:val="false"/>
                  <w:color w:val="0000FF"/>
                  <w:sz w:val="18"/>
                  <w:u w:val="single"/>
                </w:rPr>
                <w:t>5</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9bb359f38e244eea49c9aca4f686232_31">
              <w:r>
                <w:rPr>
                  <w:rStyle w:val="InternetLink"/>
                  <w:rFonts w:ascii="Times New Roman;serif" w:hAnsi="Times New Roman;serif"/>
                  <w:b w:val="false"/>
                  <w:color w:val="0000FF"/>
                  <w:sz w:val="18"/>
                  <w:u w:val="single"/>
                </w:rPr>
                <w:t>Consolidated Statements of Changes in Equity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31">
              <w:r>
                <w:rPr>
                  <w:rStyle w:val="InternetLink"/>
                  <w:rFonts w:ascii="Times New Roman;serif" w:hAnsi="Times New Roman;serif"/>
                  <w:b w:val="false"/>
                  <w:color w:val="0000FF"/>
                  <w:sz w:val="18"/>
                  <w:u w:val="single"/>
                </w:rPr>
                <w:t>6</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37">
              <w:r>
                <w:rPr>
                  <w:rStyle w:val="InternetLink"/>
                  <w:rFonts w:ascii="Times New Roman;serif" w:hAnsi="Times New Roman;serif"/>
                  <w:b w:val="false"/>
                  <w:color w:val="0000FF"/>
                  <w:sz w:val="18"/>
                  <w:u w:val="single"/>
                </w:rPr>
                <w:t>Consolidated Statements of Cash Flows for the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37">
              <w:r>
                <w:rPr>
                  <w:rStyle w:val="InternetLink"/>
                  <w:rFonts w:ascii="Times New Roman;serif" w:hAnsi="Times New Roman;serif"/>
                  <w:b w:val="false"/>
                  <w:color w:val="0000FF"/>
                  <w:sz w:val="18"/>
                  <w:u w:val="single"/>
                </w:rPr>
                <w:t>7</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First Industrial, L.P.</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40">
              <w:r>
                <w:rPr>
                  <w:rStyle w:val="InternetLink"/>
                  <w:rFonts w:ascii="Times New Roman;serif" w:hAnsi="Times New Roman;serif"/>
                  <w:b w:val="false"/>
                  <w:color w:val="0000FF"/>
                  <w:sz w:val="18"/>
                  <w:u w:val="single"/>
                </w:rPr>
                <w:t>Consolidated Balance Sheets as of June 30, 2026 and December 31,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40">
              <w:r>
                <w:rPr>
                  <w:rStyle w:val="InternetLink"/>
                  <w:rFonts w:ascii="Times New Roman;serif" w:hAnsi="Times New Roman;serif"/>
                  <w:b w:val="false"/>
                  <w:color w:val="0000FF"/>
                  <w:sz w:val="18"/>
                  <w:u w:val="single"/>
                </w:rPr>
                <w:t>9</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46">
              <w:r>
                <w:rPr>
                  <w:rStyle w:val="InternetLink"/>
                  <w:rFonts w:ascii="Times New Roman;serif" w:hAnsi="Times New Roman;serif"/>
                  <w:b w:val="false"/>
                  <w:color w:val="0000FF"/>
                  <w:sz w:val="18"/>
                  <w:u w:val="single"/>
                </w:rPr>
                <w:t>Consolidated Statements of Operations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46">
              <w:r>
                <w:rPr>
                  <w:rStyle w:val="InternetLink"/>
                  <w:rFonts w:ascii="Times New Roman;serif" w:hAnsi="Times New Roman;serif"/>
                  <w:b w:val="false"/>
                  <w:color w:val="0000FF"/>
                  <w:sz w:val="18"/>
                  <w:u w:val="single"/>
                </w:rPr>
                <w:t>10</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9bb359f38e244eea49c9aca4f686232_49">
              <w:r>
                <w:rPr>
                  <w:rStyle w:val="InternetLink"/>
                  <w:rFonts w:ascii="Times New Roman;serif" w:hAnsi="Times New Roman;serif"/>
                  <w:b w:val="false"/>
                  <w:color w:val="0000FF"/>
                  <w:sz w:val="18"/>
                  <w:u w:val="single"/>
                </w:rPr>
                <w:t>Consolidated Statements of Comprehensive Income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49">
              <w:r>
                <w:rPr>
                  <w:rStyle w:val="InternetLink"/>
                  <w:rFonts w:ascii="Times New Roman;serif" w:hAnsi="Times New Roman;serif"/>
                  <w:b w:val="false"/>
                  <w:color w:val="0000FF"/>
                  <w:sz w:val="18"/>
                  <w:u w:val="single"/>
                </w:rPr>
                <w:t>11</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9bb359f38e244eea49c9aca4f686232_52">
              <w:r>
                <w:rPr>
                  <w:rStyle w:val="InternetLink"/>
                  <w:rFonts w:ascii="Times New Roman;serif" w:hAnsi="Times New Roman;serif"/>
                  <w:b w:val="false"/>
                  <w:color w:val="0000FF"/>
                  <w:sz w:val="18"/>
                  <w:u w:val="single"/>
                </w:rPr>
                <w:t>Consolidated Statements of Changes in Partners' Capital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52">
              <w:r>
                <w:rPr>
                  <w:rStyle w:val="InternetLink"/>
                  <w:rFonts w:ascii="Times New Roman;serif" w:hAnsi="Times New Roman;serif"/>
                  <w:b w:val="false"/>
                  <w:color w:val="0000FF"/>
                  <w:sz w:val="18"/>
                  <w:u w:val="single"/>
                </w:rPr>
                <w:t>12</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58">
              <w:r>
                <w:rPr>
                  <w:rStyle w:val="InternetLink"/>
                  <w:rFonts w:ascii="Times New Roman;serif" w:hAnsi="Times New Roman;serif"/>
                  <w:b w:val="false"/>
                  <w:color w:val="0000FF"/>
                  <w:sz w:val="18"/>
                  <w:u w:val="single"/>
                </w:rPr>
                <w:t>Consolidated Statements of Cash Flows for the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58">
              <w:r>
                <w:rPr>
                  <w:rStyle w:val="InternetLink"/>
                  <w:rFonts w:ascii="Times New Roman;serif" w:hAnsi="Times New Roman;serif"/>
                  <w:b w:val="false"/>
                  <w:color w:val="0000FF"/>
                  <w:sz w:val="18"/>
                  <w:u w:val="single"/>
                </w:rPr>
                <w:t>13</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First Industrial Realty Trust, Inc. and First Industrial, L.P.</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61">
              <w:r>
                <w:rPr>
                  <w:rStyle w:val="InternetLink"/>
                  <w:rFonts w:ascii="Times New Roman;serif" w:hAnsi="Times New Roman;serif"/>
                  <w:b w:val="false"/>
                  <w:color w:val="0000FF"/>
                  <w:sz w:val="18"/>
                  <w:u w:val="single"/>
                </w:rPr>
                <w:t>Notes to the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61">
              <w:r>
                <w:rPr>
                  <w:rStyle w:val="InternetLink"/>
                  <w:rFonts w:ascii="Times New Roman;serif" w:hAnsi="Times New Roman;serif"/>
                  <w:b w:val="false"/>
                  <w:color w:val="0000FF"/>
                  <w:sz w:val="18"/>
                  <w:u w:val="single"/>
                </w:rPr>
                <w:t>15</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64">
              <w:r>
                <w:rPr>
                  <w:rStyle w:val="InternetLink"/>
                  <w:rFonts w:ascii="Times New Roman;serif" w:hAnsi="Times New Roman;serif"/>
                  <w:b w:val="false"/>
                  <w:color w:val="0000FF"/>
                  <w:sz w:val="18"/>
                  <w:u w:val="single"/>
                </w:rPr>
                <w:t>1. Organization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64">
              <w:r>
                <w:rPr>
                  <w:rStyle w:val="InternetLink"/>
                  <w:rFonts w:ascii="Times New Roman;serif" w:hAnsi="Times New Roman;serif"/>
                  <w:b w:val="false"/>
                  <w:color w:val="0000FF"/>
                  <w:sz w:val="18"/>
                  <w:u w:val="single"/>
                </w:rPr>
                <w:t>15</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70">
              <w:r>
                <w:rPr>
                  <w:rStyle w:val="InternetLink"/>
                  <w:rFonts w:ascii="Times New Roman;serif" w:hAnsi="Times New Roman;serif"/>
                  <w:b w:val="false"/>
                  <w:color w:val="0000FF"/>
                  <w:sz w:val="18"/>
                  <w:u w:val="single"/>
                </w:rPr>
                <w:t>2. Summary of Significant Accounting Policies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70">
              <w:r>
                <w:rPr>
                  <w:rStyle w:val="InternetLink"/>
                  <w:rFonts w:ascii="Times New Roman;serif" w:hAnsi="Times New Roman;serif"/>
                  <w:b w:val="false"/>
                  <w:color w:val="0000FF"/>
                  <w:sz w:val="18"/>
                  <w:u w:val="single"/>
                </w:rPr>
                <w:t>16</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76">
              <w:r>
                <w:rPr>
                  <w:rStyle w:val="InternetLink"/>
                  <w:rFonts w:ascii="Times New Roman;serif" w:hAnsi="Times New Roman;serif"/>
                  <w:b w:val="false"/>
                  <w:color w:val="0000FF"/>
                  <w:sz w:val="18"/>
                  <w:u w:val="single"/>
                </w:rPr>
                <w:t>3. Investment in Real Estate</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76">
              <w:r>
                <w:rPr>
                  <w:rStyle w:val="InternetLink"/>
                  <w:rFonts w:ascii="Times New Roman;serif" w:hAnsi="Times New Roman;serif"/>
                  <w:b w:val="false"/>
                  <w:color w:val="0000FF"/>
                  <w:sz w:val="18"/>
                  <w:u w:val="single"/>
                </w:rPr>
                <w:t>17</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82">
              <w:r>
                <w:rPr>
                  <w:rStyle w:val="InternetLink"/>
                  <w:rFonts w:ascii="Times New Roman;serif" w:hAnsi="Times New Roman;serif"/>
                  <w:b w:val="false"/>
                  <w:color w:val="0000FF"/>
                  <w:sz w:val="18"/>
                  <w:u w:val="single"/>
                </w:rPr>
                <w:t>4. Indebtedness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82">
              <w:r>
                <w:rPr>
                  <w:rStyle w:val="InternetLink"/>
                  <w:rFonts w:ascii="Times New Roman;serif" w:hAnsi="Times New Roman;serif"/>
                  <w:b w:val="false"/>
                  <w:color w:val="0000FF"/>
                  <w:sz w:val="18"/>
                  <w:u w:val="single"/>
                </w:rPr>
                <w:t>18</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88">
              <w:r>
                <w:rPr>
                  <w:rStyle w:val="InternetLink"/>
                  <w:rFonts w:ascii="Times New Roman;serif" w:hAnsi="Times New Roman;serif"/>
                  <w:b w:val="false"/>
                  <w:color w:val="0000FF"/>
                  <w:sz w:val="18"/>
                  <w:u w:val="single"/>
                </w:rPr>
                <w:t>5. Variable Interest Entities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88">
              <w:r>
                <w:rPr>
                  <w:rStyle w:val="InternetLink"/>
                  <w:rFonts w:ascii="Times New Roman;serif" w:hAnsi="Times New Roman;serif"/>
                  <w:b w:val="false"/>
                  <w:color w:val="0000FF"/>
                  <w:sz w:val="18"/>
                  <w:u w:val="single"/>
                </w:rPr>
                <w:t>20</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91">
              <w:r>
                <w:rPr>
                  <w:rStyle w:val="InternetLink"/>
                  <w:rFonts w:ascii="Times New Roman;serif" w:hAnsi="Times New Roman;serif"/>
                  <w:b w:val="false"/>
                  <w:color w:val="0000FF"/>
                  <w:sz w:val="18"/>
                  <w:u w:val="single"/>
                </w:rPr>
                <w:t>6. Equity of the Company and Partners' Capital of the Operating Partnership</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91">
              <w:r>
                <w:rPr>
                  <w:rStyle w:val="InternetLink"/>
                  <w:rFonts w:ascii="Times New Roman;serif" w:hAnsi="Times New Roman;serif"/>
                  <w:b w:val="false"/>
                  <w:color w:val="0000FF"/>
                  <w:sz w:val="18"/>
                  <w:u w:val="single"/>
                </w:rPr>
                <w:t>22</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97">
              <w:r>
                <w:rPr>
                  <w:rStyle w:val="InternetLink"/>
                  <w:rFonts w:ascii="Times New Roman;serif" w:hAnsi="Times New Roman;serif"/>
                  <w:b w:val="false"/>
                  <w:color w:val="0000FF"/>
                  <w:sz w:val="18"/>
                  <w:u w:val="single"/>
                </w:rPr>
                <w:t>7. Accumulated Other Comprehensive Income (Loss)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97">
              <w:r>
                <w:rPr>
                  <w:rStyle w:val="InternetLink"/>
                  <w:rFonts w:ascii="Times New Roman;serif" w:hAnsi="Times New Roman;serif"/>
                  <w:b w:val="false"/>
                  <w:color w:val="0000FF"/>
                  <w:sz w:val="18"/>
                  <w:u w:val="single"/>
                </w:rPr>
                <w:t>23</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00">
              <w:r>
                <w:rPr>
                  <w:rStyle w:val="InternetLink"/>
                  <w:rFonts w:ascii="Times New Roman;serif" w:hAnsi="Times New Roman;serif"/>
                  <w:b w:val="false"/>
                  <w:color w:val="0000FF"/>
                  <w:sz w:val="18"/>
                  <w:u w:val="single"/>
                </w:rPr>
                <w:t>8. Earnings Per Share and Earnings Per Unit ("EPS"/"EPU")</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00">
              <w:r>
                <w:rPr>
                  <w:rStyle w:val="InternetLink"/>
                  <w:rFonts w:ascii="Times New Roman;serif" w:hAnsi="Times New Roman;serif"/>
                  <w:b w:val="false"/>
                  <w:color w:val="0000FF"/>
                  <w:sz w:val="18"/>
                  <w:u w:val="single"/>
                </w:rPr>
                <w:t>24</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03">
              <w:r>
                <w:rPr>
                  <w:rStyle w:val="InternetLink"/>
                  <w:rFonts w:ascii="Times New Roman;serif" w:hAnsi="Times New Roman;serif"/>
                  <w:b w:val="false"/>
                  <w:color w:val="0000FF"/>
                  <w:sz w:val="18"/>
                  <w:u w:val="single"/>
                </w:rPr>
                <w:t>9. Long-Term Compensation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03">
              <w:r>
                <w:rPr>
                  <w:rStyle w:val="InternetLink"/>
                  <w:rFonts w:ascii="Times New Roman;serif" w:hAnsi="Times New Roman;serif"/>
                  <w:b w:val="false"/>
                  <w:color w:val="0000FF"/>
                  <w:sz w:val="18"/>
                  <w:u w:val="single"/>
                </w:rPr>
                <w:t>25</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09">
              <w:r>
                <w:rPr>
                  <w:rStyle w:val="InternetLink"/>
                  <w:rFonts w:ascii="Times New Roman;serif" w:hAnsi="Times New Roman;serif"/>
                  <w:b w:val="false"/>
                  <w:color w:val="0000FF"/>
                  <w:sz w:val="18"/>
                  <w:u w:val="single"/>
                </w:rPr>
                <w:t>10. Derivative Instruments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09">
              <w:r>
                <w:rPr>
                  <w:rStyle w:val="InternetLink"/>
                  <w:rFonts w:ascii="Times New Roman;serif" w:hAnsi="Times New Roman;serif"/>
                  <w:b w:val="false"/>
                  <w:color w:val="0000FF"/>
                  <w:sz w:val="18"/>
                  <w:u w:val="single"/>
                </w:rPr>
                <w:t>26</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15">
              <w:r>
                <w:rPr>
                  <w:rStyle w:val="InternetLink"/>
                  <w:rFonts w:ascii="Times New Roman;serif" w:hAnsi="Times New Roman;serif"/>
                  <w:b w:val="false"/>
                  <w:color w:val="0000FF"/>
                  <w:sz w:val="18"/>
                  <w:u w:val="single"/>
                </w:rPr>
                <w:t>11. Related Party Transactions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15">
              <w:r>
                <w:rPr>
                  <w:rStyle w:val="InternetLink"/>
                  <w:rFonts w:ascii="Times New Roman;serif" w:hAnsi="Times New Roman;serif"/>
                  <w:b w:val="false"/>
                  <w:color w:val="0000FF"/>
                  <w:sz w:val="18"/>
                  <w:u w:val="single"/>
                </w:rPr>
                <w:t>27</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18">
              <w:r>
                <w:rPr>
                  <w:rStyle w:val="InternetLink"/>
                  <w:rFonts w:ascii="Times New Roman;serif" w:hAnsi="Times New Roman;serif"/>
                  <w:b w:val="false"/>
                  <w:color w:val="0000FF"/>
                  <w:sz w:val="18"/>
                  <w:u w:val="single"/>
                </w:rPr>
                <w:t>12. Commitments and Contingencies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18">
              <w:r>
                <w:rPr>
                  <w:rStyle w:val="InternetLink"/>
                  <w:rFonts w:ascii="Times New Roman;serif" w:hAnsi="Times New Roman;serif"/>
                  <w:b w:val="false"/>
                  <w:color w:val="0000FF"/>
                  <w:sz w:val="18"/>
                  <w:u w:val="single"/>
                </w:rPr>
                <w:t>27</w:t>
              </w:r>
            </w:hyperlink>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24">
              <w:r>
                <w:rPr>
                  <w:rStyle w:val="InternetLink"/>
                  <w:rFonts w:ascii="Times New Roman;serif" w:hAnsi="Times New Roman;serif"/>
                  <w:b w:val="false"/>
                  <w:color w:val="0000FF"/>
                  <w:sz w:val="18"/>
                  <w:u w:val="single"/>
                </w:rPr>
                <w:t>13. Subsequent Events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24">
              <w:r>
                <w:rPr>
                  <w:rStyle w:val="InternetLink"/>
                  <w:rFonts w:ascii="Times New Roman;serif" w:hAnsi="Times New Roman;serif"/>
                  <w:b w:val="false"/>
                  <w:color w:val="0000FF"/>
                  <w:sz w:val="18"/>
                  <w:u w:val="single"/>
                </w:rPr>
                <w:t>27</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30">
              <w:r>
                <w:rPr>
                  <w:rStyle w:val="InternetLink"/>
                  <w:rFonts w:ascii="Times New Roman;serif" w:hAnsi="Times New Roman;serif"/>
                  <w:b w:val="false"/>
                  <w:color w:val="0000FF"/>
                  <w:sz w:val="18"/>
                  <w:u w:val="single"/>
                </w:rPr>
                <w:t>Item 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30">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30">
              <w:r>
                <w:rPr>
                  <w:rStyle w:val="InternetLink"/>
                  <w:rFonts w:ascii="Times New Roman;serif" w:hAnsi="Times New Roman;serif"/>
                  <w:b w:val="false"/>
                  <w:color w:val="0000FF"/>
                  <w:sz w:val="18"/>
                  <w:u w:val="single"/>
                </w:rPr>
                <w:t>28</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48">
              <w:r>
                <w:rPr>
                  <w:rStyle w:val="InternetLink"/>
                  <w:rFonts w:ascii="Times New Roman;serif" w:hAnsi="Times New Roman;serif"/>
                  <w:b w:val="false"/>
                  <w:color w:val="0000FF"/>
                  <w:sz w:val="18"/>
                  <w:u w:val="single"/>
                </w:rPr>
                <w:t>Item 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48">
              <w:r>
                <w:rPr>
                  <w:rStyle w:val="InternetLink"/>
                  <w:rFonts w:ascii="Times New Roman;serif" w:hAnsi="Times New Roman;serif"/>
                  <w:b w:val="false"/>
                  <w:color w:val="0000FF"/>
                  <w:sz w:val="18"/>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48">
              <w:r>
                <w:rPr>
                  <w:rStyle w:val="InternetLink"/>
                  <w:rFonts w:ascii="Times New Roman;serif" w:hAnsi="Times New Roman;serif"/>
                  <w:b w:val="false"/>
                  <w:color w:val="0000FF"/>
                  <w:sz w:val="18"/>
                  <w:u w:val="single"/>
                </w:rPr>
                <w:t>45</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51">
              <w:r>
                <w:rPr>
                  <w:rStyle w:val="InternetLink"/>
                  <w:rFonts w:ascii="Times New Roman;serif" w:hAnsi="Times New Roman;serif"/>
                  <w:b w:val="false"/>
                  <w:color w:val="0000FF"/>
                  <w:sz w:val="18"/>
                  <w:u w:val="single"/>
                </w:rPr>
                <w:t>Item 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51">
              <w:r>
                <w:rPr>
                  <w:rStyle w:val="InternetLink"/>
                  <w:rFonts w:ascii="Times New Roman;serif" w:hAnsi="Times New Roman;serif"/>
                  <w:b w:val="false"/>
                  <w:color w:val="0000FF"/>
                  <w:sz w:val="18"/>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51">
              <w:r>
                <w:rPr>
                  <w:rStyle w:val="InternetLink"/>
                  <w:rFonts w:ascii="Times New Roman;serif" w:hAnsi="Times New Roman;serif"/>
                  <w:b w:val="false"/>
                  <w:color w:val="0000FF"/>
                  <w:sz w:val="18"/>
                  <w:u w:val="single"/>
                </w:rPr>
                <w:t>45</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54">
              <w:r>
                <w:rPr>
                  <w:rStyle w:val="InternetLink"/>
                  <w:rFonts w:ascii="Times New Roman;serif" w:hAnsi="Times New Roman;serif"/>
                  <w:b/>
                  <w:color w:val="0000FF"/>
                  <w:sz w:val="18"/>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54">
              <w:r>
                <w:rPr>
                  <w:rStyle w:val="InternetLink"/>
                  <w:rFonts w:ascii="Times New Roman;serif" w:hAnsi="Times New Roman;serif"/>
                  <w:b w:val="false"/>
                  <w:color w:val="0000FF"/>
                  <w:sz w:val="18"/>
                  <w:u w:val="single"/>
                </w:rPr>
                <w:t>46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57">
              <w:r>
                <w:rPr>
                  <w:rStyle w:val="InternetLink"/>
                  <w:rFonts w:ascii="Times New Roman;serif" w:hAnsi="Times New Roman;serif"/>
                  <w:b w:val="false"/>
                  <w:color w:val="0000FF"/>
                  <w:sz w:val="18"/>
                  <w:u w:val="single"/>
                </w:rPr>
                <w:t>Item 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57">
              <w:r>
                <w:rPr>
                  <w:rStyle w:val="InternetLink"/>
                  <w:rFonts w:ascii="Times New Roman;serif" w:hAnsi="Times New Roman;serif"/>
                  <w:b w:val="false"/>
                  <w:color w:val="0000FF"/>
                  <w:sz w:val="18"/>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57">
              <w:r>
                <w:rPr>
                  <w:rStyle w:val="InternetLink"/>
                  <w:rFonts w:ascii="Times New Roman;serif" w:hAnsi="Times New Roman;serif"/>
                  <w:b w:val="false"/>
                  <w:color w:val="0000FF"/>
                  <w:sz w:val="18"/>
                  <w:u w:val="single"/>
                </w:rPr>
                <w:t>46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0">
              <w:r>
                <w:rPr>
                  <w:rStyle w:val="InternetLink"/>
                  <w:rFonts w:ascii="Times New Roman;serif" w:hAnsi="Times New Roman;serif"/>
                  <w:b w:val="false"/>
                  <w:color w:val="0000FF"/>
                  <w:sz w:val="18"/>
                  <w:u w:val="single"/>
                </w:rPr>
                <w:t>Item 1A.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0">
              <w:r>
                <w:rPr>
                  <w:rStyle w:val="InternetLink"/>
                  <w:rFonts w:ascii="Times New Roman;serif" w:hAnsi="Times New Roman;serif"/>
                  <w:b w:val="false"/>
                  <w:color w:val="0000FF"/>
                  <w:sz w:val="18"/>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60">
              <w:r>
                <w:rPr>
                  <w:rStyle w:val="InternetLink"/>
                  <w:rFonts w:ascii="Times New Roman;serif" w:hAnsi="Times New Roman;serif"/>
                  <w:b w:val="false"/>
                  <w:color w:val="0000FF"/>
                  <w:sz w:val="18"/>
                  <w:u w:val="single"/>
                </w:rPr>
                <w:t>46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3">
              <w:r>
                <w:rPr>
                  <w:rStyle w:val="InternetLink"/>
                  <w:rFonts w:ascii="Times New Roman;serif" w:hAnsi="Times New Roman;serif"/>
                  <w:b w:val="false"/>
                  <w:color w:val="0000FF"/>
                  <w:sz w:val="18"/>
                  <w:u w:val="single"/>
                </w:rPr>
                <w:t>Item 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3">
              <w:r>
                <w:rPr>
                  <w:rStyle w:val="InternetLink"/>
                  <w:rFonts w:ascii="Times New Roman;serif" w:hAnsi="Times New Roman;serif"/>
                  <w:b w:val="false"/>
                  <w:color w:val="0000FF"/>
                  <w:sz w:val="18"/>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63">
              <w:r>
                <w:rPr>
                  <w:rStyle w:val="InternetLink"/>
                  <w:rFonts w:ascii="Times New Roman;serif" w:hAnsi="Times New Roman;serif"/>
                  <w:b w:val="false"/>
                  <w:color w:val="0000FF"/>
                  <w:sz w:val="18"/>
                  <w:u w:val="single"/>
                </w:rPr>
                <w:t>46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6">
              <w:r>
                <w:rPr>
                  <w:rStyle w:val="InternetLink"/>
                  <w:rFonts w:ascii="Times New Roman;serif" w:hAnsi="Times New Roman;serif"/>
                  <w:b w:val="false"/>
                  <w:color w:val="0000FF"/>
                  <w:sz w:val="18"/>
                  <w:u w:val="single"/>
                </w:rPr>
                <w:t>Item 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6">
              <w:r>
                <w:rPr>
                  <w:rStyle w:val="InternetLink"/>
                  <w:rFonts w:ascii="Times New Roman;serif" w:hAnsi="Times New Roman;serif"/>
                  <w:b w:val="false"/>
                  <w:color w:val="0000FF"/>
                  <w:sz w:val="18"/>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66">
              <w:r>
                <w:rPr>
                  <w:rStyle w:val="InternetLink"/>
                  <w:rFonts w:ascii="Times New Roman;serif" w:hAnsi="Times New Roman;serif"/>
                  <w:b w:val="false"/>
                  <w:color w:val="0000FF"/>
                  <w:sz w:val="18"/>
                  <w:u w:val="single"/>
                </w:rPr>
                <w:t>46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9">
              <w:r>
                <w:rPr>
                  <w:rStyle w:val="InternetLink"/>
                  <w:rFonts w:ascii="Times New Roman;serif" w:hAnsi="Times New Roman;serif"/>
                  <w:b w:val="false"/>
                  <w:color w:val="0000FF"/>
                  <w:sz w:val="18"/>
                  <w:u w:val="single"/>
                </w:rPr>
                <w:t>Item 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69">
              <w:r>
                <w:rPr>
                  <w:rStyle w:val="InternetLink"/>
                  <w:rFonts w:ascii="Times New Roman;serif" w:hAnsi="Times New Roman;serif"/>
                  <w:b w:val="false"/>
                  <w:color w:val="0000FF"/>
                  <w:sz w:val="18"/>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69">
              <w:r>
                <w:rPr>
                  <w:rStyle w:val="InternetLink"/>
                  <w:rFonts w:ascii="Times New Roman;serif" w:hAnsi="Times New Roman;serif"/>
                  <w:b w:val="false"/>
                  <w:color w:val="0000FF"/>
                  <w:sz w:val="18"/>
                  <w:u w:val="single"/>
                </w:rPr>
                <w:t>46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72">
              <w:r>
                <w:rPr>
                  <w:rStyle w:val="InternetLink"/>
                  <w:rFonts w:ascii="Times New Roman;serif" w:hAnsi="Times New Roman;serif"/>
                  <w:b w:val="false"/>
                  <w:color w:val="0000FF"/>
                  <w:sz w:val="18"/>
                  <w:u w:val="single"/>
                </w:rPr>
                <w:t>Item 5.</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72">
              <w:r>
                <w:rPr>
                  <w:rStyle w:val="InternetLink"/>
                  <w:rFonts w:ascii="Times New Roman;serif" w:hAnsi="Times New Roman;serif"/>
                  <w:b w:val="false"/>
                  <w:color w:val="0000FF"/>
                  <w:sz w:val="18"/>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72">
              <w:r>
                <w:rPr>
                  <w:rStyle w:val="InternetLink"/>
                  <w:rFonts w:ascii="Times New Roman;serif" w:hAnsi="Times New Roman;serif"/>
                  <w:b w:val="false"/>
                  <w:color w:val="0000FF"/>
                  <w:sz w:val="18"/>
                  <w:u w:val="single"/>
                </w:rPr>
                <w:t>46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75">
              <w:r>
                <w:rPr>
                  <w:rStyle w:val="InternetLink"/>
                  <w:rFonts w:ascii="Times New Roman;serif" w:hAnsi="Times New Roman;serif"/>
                  <w:b w:val="false"/>
                  <w:color w:val="0000FF"/>
                  <w:sz w:val="18"/>
                  <w:u w:val="single"/>
                </w:rPr>
                <w:t>Item 6.</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75">
              <w:r>
                <w:rPr>
                  <w:rStyle w:val="InternetLink"/>
                  <w:rFonts w:ascii="Times New Roman;serif" w:hAnsi="Times New Roman;serif"/>
                  <w:b w:val="false"/>
                  <w:color w:val="0000FF"/>
                  <w:sz w:val="18"/>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75">
              <w:r>
                <w:rPr>
                  <w:rStyle w:val="InternetLink"/>
                  <w:rFonts w:ascii="Times New Roman;serif" w:hAnsi="Times New Roman;serif"/>
                  <w:b w:val="false"/>
                  <w:color w:val="0000FF"/>
                  <w:sz w:val="18"/>
                  <w:u w:val="single"/>
                </w:rPr>
                <w:t>46</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78">
              <w:r>
                <w:rPr>
                  <w:rStyle w:val="InternetLink"/>
                  <w:rFonts w:ascii="Times New Roman;serif" w:hAnsi="Times New Roman;serif"/>
                  <w:b/>
                  <w:color w:val="0000FF"/>
                  <w:sz w:val="18"/>
                  <w:u w:val="single"/>
                </w:rPr>
                <w:t>EXHIBIT INDEX</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78">
              <w:r>
                <w:rPr>
                  <w:rStyle w:val="InternetLink"/>
                  <w:rFonts w:ascii="Times New Roman;serif" w:hAnsi="Times New Roman;serif"/>
                  <w:b w:val="false"/>
                  <w:color w:val="0000FF"/>
                  <w:sz w:val="18"/>
                  <w:u w:val="single"/>
                </w:rPr>
                <w:t>47</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bb359f38e244eea49c9aca4f686232_181">
              <w:r>
                <w:rPr>
                  <w:rStyle w:val="InternetLink"/>
                  <w:rFonts w:ascii="Times New Roman;serif" w:hAnsi="Times New Roman;serif"/>
                  <w:b/>
                  <w:color w:val="0000FF"/>
                  <w:sz w:val="18"/>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bb359f38e244eea49c9aca4f686232_181">
              <w:r>
                <w:rPr>
                  <w:rStyle w:val="InternetLink"/>
                  <w:rFonts w:ascii="Times New Roman;serif" w:hAnsi="Times New Roman;serif"/>
                  <w:b w:val="false"/>
                  <w:color w:val="0000FF"/>
                  <w:sz w:val="18"/>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5" w:type="dxa"/>
        <w:jc w:val="left"/>
        <w:tblInd w:w="0" w:type="dxa"/>
        <w:tblLayout w:type="fixed"/>
        <w:tblCellMar>
          <w:top w:w="28" w:type="dxa"/>
          <w:left w:w="28" w:type="dxa"/>
          <w:bottom w:w="28" w:type="dxa"/>
          <w:right w:w="28" w:type="dxa"/>
        </w:tblCellMar>
      </w:tblPr>
      <w:tblGrid>
        <w:gridCol w:w="255"/>
        <w:gridCol w:w="224"/>
        <w:gridCol w:w="226"/>
        <w:gridCol w:w="561"/>
        <w:gridCol w:w="561"/>
        <w:gridCol w:w="79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665"/>
        <w:gridCol w:w="2220"/>
        <w:gridCol w:w="2229"/>
        <w:gridCol w:w="211"/>
        <w:gridCol w:w="976"/>
        <w:gridCol w:w="109"/>
        <w:gridCol w:w="109"/>
        <w:gridCol w:w="109"/>
        <w:gridCol w:w="109"/>
        <w:gridCol w:w="230"/>
        <w:gridCol w:w="1067"/>
        <w:gridCol w:w="171"/>
      </w:tblGrid>
      <w:tr>
        <w:trPr/>
        <w:tc>
          <w:tcPr>
            <w:tcW w:w="2665"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Real Estate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5,175,911 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5,688,081 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Rents Received in Advance and Security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2,929,151 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225,000,000 shares authorized and 132,572,946 and 132,470,326 shares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2,436,238 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First Industrial Realty Trust, Inc.'s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2,671,390 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2,758,930 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5,780,665 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5,688,081 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465"/>
        <w:gridCol w:w="993"/>
        <w:gridCol w:w="871"/>
        <w:gridCol w:w="273"/>
        <w:gridCol w:w="1069"/>
        <w:gridCol w:w="141"/>
        <w:gridCol w:w="109"/>
        <w:gridCol w:w="109"/>
        <w:gridCol w:w="109"/>
        <w:gridCol w:w="273"/>
        <w:gridCol w:w="1069"/>
        <w:gridCol w:w="141"/>
        <w:gridCol w:w="109"/>
        <w:gridCol w:w="109"/>
        <w:gridCol w:w="109"/>
        <w:gridCol w:w="265"/>
        <w:gridCol w:w="1038"/>
        <w:gridCol w:w="136"/>
        <w:gridCol w:w="109"/>
        <w:gridCol w:w="109"/>
        <w:gridCol w:w="109"/>
        <w:gridCol w:w="263"/>
        <w:gridCol w:w="1030"/>
        <w:gridCol w:w="197"/>
      </w:tblGrid>
      <w:tr>
        <w:trPr/>
        <w:tc>
          <w:tcPr>
            <w:tcW w:w="146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Fees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357,237 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Development Services Expense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101,212 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233,743 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209,391 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(21,929)</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74,234 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(35,517)</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Equity in Income (Loss) of Joint Venture and Income Tax Benefit (Provision)</w:t>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112,329 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Joint Venture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227,612 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109,763 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the Noncontrolling Interests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 and Participating Securities</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220,197 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103,288 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Allocable to Participating Securities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77,053 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220,091 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103,213 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w:t>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3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132,605 </w:t>
            </w:r>
          </w:p>
        </w:tc>
        <w:tc>
          <w:tcPr>
            <w:tcW w:w="1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132,431 </w:t>
            </w:r>
          </w:p>
        </w:tc>
        <w:tc>
          <w:tcPr>
            <w:tcW w:w="1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132,589 </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132,423 </w:t>
            </w:r>
          </w:p>
        </w:tc>
        <w:tc>
          <w:tcPr>
            <w:tcW w:w="19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3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132,668 </w:t>
            </w:r>
          </w:p>
        </w:tc>
        <w:tc>
          <w:tcPr>
            <w:tcW w:w="1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132,479 </w:t>
            </w:r>
          </w:p>
        </w:tc>
        <w:tc>
          <w:tcPr>
            <w:tcW w:w="1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132,654 </w:t>
            </w:r>
          </w:p>
        </w:tc>
        <w:tc>
          <w:tcPr>
            <w:tcW w:w="1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132,486 </w:t>
            </w:r>
          </w:p>
        </w:tc>
        <w:tc>
          <w:tcPr>
            <w:tcW w:w="19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046"/>
        <w:gridCol w:w="916"/>
        <w:gridCol w:w="928"/>
        <w:gridCol w:w="317"/>
        <w:gridCol w:w="1086"/>
        <w:gridCol w:w="164"/>
        <w:gridCol w:w="109"/>
        <w:gridCol w:w="109"/>
        <w:gridCol w:w="109"/>
        <w:gridCol w:w="317"/>
        <w:gridCol w:w="1086"/>
        <w:gridCol w:w="164"/>
        <w:gridCol w:w="109"/>
        <w:gridCol w:w="109"/>
        <w:gridCol w:w="109"/>
        <w:gridCol w:w="289"/>
        <w:gridCol w:w="1136"/>
        <w:gridCol w:w="149"/>
        <w:gridCol w:w="109"/>
        <w:gridCol w:w="109"/>
        <w:gridCol w:w="109"/>
        <w:gridCol w:w="287"/>
        <w:gridCol w:w="1124"/>
        <w:gridCol w:w="215"/>
      </w:tblGrid>
      <w:tr>
        <w:trPr/>
        <w:tc>
          <w:tcPr>
            <w:tcW w:w="10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109,763 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 (Loss) on Derivative Instruments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Derivative Instruments</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Derivative Instruments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4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236,063 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96,862 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First Industrial Realty Trust, Inc.</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50,343 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228,373 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90,772 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879"/>
        <w:gridCol w:w="372"/>
        <w:gridCol w:w="376"/>
        <w:gridCol w:w="196"/>
        <w:gridCol w:w="556"/>
        <w:gridCol w:w="109"/>
        <w:gridCol w:w="109"/>
        <w:gridCol w:w="109"/>
        <w:gridCol w:w="109"/>
        <w:gridCol w:w="196"/>
        <w:gridCol w:w="871"/>
        <w:gridCol w:w="109"/>
        <w:gridCol w:w="109"/>
        <w:gridCol w:w="109"/>
        <w:gridCol w:w="109"/>
        <w:gridCol w:w="207"/>
        <w:gridCol w:w="779"/>
        <w:gridCol w:w="115"/>
        <w:gridCol w:w="109"/>
        <w:gridCol w:w="109"/>
        <w:gridCol w:w="109"/>
        <w:gridCol w:w="283"/>
        <w:gridCol w:w="937"/>
        <w:gridCol w:w="158"/>
        <w:gridCol w:w="109"/>
        <w:gridCol w:w="109"/>
        <w:gridCol w:w="109"/>
        <w:gridCol w:w="247"/>
        <w:gridCol w:w="815"/>
        <w:gridCol w:w="139"/>
        <w:gridCol w:w="109"/>
        <w:gridCol w:w="109"/>
        <w:gridCol w:w="109"/>
        <w:gridCol w:w="196"/>
        <w:gridCol w:w="871"/>
        <w:gridCol w:w="159"/>
      </w:tblGrid>
      <w:tr>
        <w:trPr/>
        <w:tc>
          <w:tcPr>
            <w:tcW w:w="87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230,668 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2,758,930 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147,918 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($0.500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Limited Partner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Other Comprehensive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306,731 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93,499 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2,851,299 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($0.500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2,445,366 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317,478 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94,135 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2,869,630 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33"/>
        <w:gridCol w:w="458"/>
        <w:gridCol w:w="462"/>
        <w:gridCol w:w="196"/>
        <w:gridCol w:w="556"/>
        <w:gridCol w:w="109"/>
        <w:gridCol w:w="109"/>
        <w:gridCol w:w="109"/>
        <w:gridCol w:w="109"/>
        <w:gridCol w:w="196"/>
        <w:gridCol w:w="871"/>
        <w:gridCol w:w="109"/>
        <w:gridCol w:w="109"/>
        <w:gridCol w:w="109"/>
        <w:gridCol w:w="109"/>
        <w:gridCol w:w="196"/>
        <w:gridCol w:w="736"/>
        <w:gridCol w:w="109"/>
        <w:gridCol w:w="109"/>
        <w:gridCol w:w="109"/>
        <w:gridCol w:w="109"/>
        <w:gridCol w:w="250"/>
        <w:gridCol w:w="826"/>
        <w:gridCol w:w="140"/>
        <w:gridCol w:w="109"/>
        <w:gridCol w:w="109"/>
        <w:gridCol w:w="109"/>
        <w:gridCol w:w="247"/>
        <w:gridCol w:w="815"/>
        <w:gridCol w:w="139"/>
        <w:gridCol w:w="109"/>
        <w:gridCol w:w="109"/>
        <w:gridCol w:w="109"/>
        <w:gridCol w:w="196"/>
        <w:gridCol w:w="871"/>
        <w:gridCol w:w="155"/>
      </w:tblGrid>
      <w:tr>
        <w:trPr/>
        <w:tc>
          <w:tcPr>
            <w:tcW w:w="9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80,421 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2,746,028 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($0.445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Other Comprehensive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92,145 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2,743,222 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($0.445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2,431,682 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7,356 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89,371 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2,734,393 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68"/>
        <w:gridCol w:w="1887"/>
        <w:gridCol w:w="1892"/>
        <w:gridCol w:w="353"/>
        <w:gridCol w:w="1327"/>
        <w:gridCol w:w="195"/>
        <w:gridCol w:w="152"/>
        <w:gridCol w:w="152"/>
        <w:gridCol w:w="152"/>
        <w:gridCol w:w="346"/>
        <w:gridCol w:w="1302"/>
        <w:gridCol w:w="279"/>
      </w:tblGrid>
      <w:tr>
        <w:trPr/>
        <w:tc>
          <w:tcPr>
            <w:tcW w:w="216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REALTY TRUST, INC.</w:t>
              <w:br/>
              <w:t>CONSOLIDATED STATEMENTS OF CASH FLOWS</w:t>
              <w:br/>
              <w:t>(Unaudited; in thousands)</w:t>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Amortization, Including Equity Based Compensation</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Joint Venture</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Settle Derivative Instruments</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Rental Income and Expense, Net</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in Tenant Accounts Receivable, Prepaid Expenses and Other Assets, Net </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(Decrease) Increase in Accounts Payable, Accrued Expenses, Other Liabilities, Rents Received in Advance and Security Deposits </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202,851 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214,620 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(161,791)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Additions to Investment in Real Estate and Non-Acquisition Tenant Improvements and Lease Costs</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(136,995)</w:t>
            </w:r>
          </w:p>
        </w:tc>
        <w:tc>
          <w:tcPr>
            <w:tcW w:w="27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Sales of Investments in Real Estate</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and Investments in Joint Venture</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Activity</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(40,037)</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(290,048)</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Issuance Costs</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on Vested Equity Compensation</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Unit Distributions Paid</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Mortgage Loan Payable</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Senior Unsecured Notes, Net of Underwriter's Discount</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443,768 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Term Loans</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Credit Facility</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Unsecured Credit Facility</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(257,000)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(616,440)</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(126,672)</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58,695 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36,142 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(16,733)</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Year</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114,174 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34,949 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85"/>
        <w:gridCol w:w="1742"/>
        <w:gridCol w:w="1749"/>
        <w:gridCol w:w="394"/>
        <w:gridCol w:w="1436"/>
        <w:gridCol w:w="219"/>
        <w:gridCol w:w="193"/>
        <w:gridCol w:w="193"/>
        <w:gridCol w:w="193"/>
        <w:gridCol w:w="386"/>
        <w:gridCol w:w="1405"/>
        <w:gridCol w:w="310"/>
      </w:tblGrid>
      <w:tr>
        <w:trPr/>
        <w:tc>
          <w:tcPr>
            <w:tcW w:w="198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REALTY TRUST, INC.</w:t>
              <w:br/>
              <w:t>CONSOLIDATED STATEMENTS OF CASH FLOWS (Continued)</w:t>
              <w:br/>
              <w:t>(Unaudited; in thousands)</w:t>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INFORMATION TO STATEMENTS OF CASH FLOWS:</w:t>
            </w:r>
          </w:p>
        </w:tc>
        <w:tc>
          <w:tcPr>
            <w:tcW w:w="2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Capitalized in Connection with Development Activity</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 Liabilities</w:t>
            </w:r>
          </w:p>
        </w:tc>
        <w:tc>
          <w:tcPr>
            <w:tcW w:w="3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3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Operating Activities:</w:t>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Arising from Obtaining Right-of-Use Assets</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Common Stock Dividends and Unit Distributions Payable</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69,460 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Limited Partnership Units for Common Stock:</w:t>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Liabilities in Connection with the Acquisition of Real Estate</w:t>
            </w:r>
          </w:p>
        </w:tc>
        <w:tc>
          <w:tcPr>
            <w:tcW w:w="3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3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Related to Construction in Progress and Additions to Investment in Real Estate</w:t>
            </w:r>
          </w:p>
        </w:tc>
        <w:tc>
          <w:tcPr>
            <w:tcW w:w="3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44,705 </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53,686 </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Improvements Funded by Tenant</w:t>
            </w:r>
          </w:p>
        </w:tc>
        <w:tc>
          <w:tcPr>
            <w:tcW w:w="3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3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Fully Depreciated Assets</w:t>
            </w:r>
          </w:p>
        </w:tc>
        <w:tc>
          <w:tcPr>
            <w:tcW w:w="39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(21,580)</w:t>
            </w:r>
          </w:p>
        </w:tc>
        <w:tc>
          <w:tcPr>
            <w:tcW w:w="2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(27,261)</w:t>
            </w:r>
          </w:p>
        </w:tc>
        <w:tc>
          <w:tcPr>
            <w:tcW w:w="3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Unit data)</w:t>
      </w:r>
    </w:p>
    <w:tbl>
      <w:tblPr>
        <w:tblW w:w="10205" w:type="dxa"/>
        <w:jc w:val="center"/>
        <w:tblInd w:w="0" w:type="dxa"/>
        <w:tblLayout w:type="fixed"/>
        <w:tblCellMar>
          <w:top w:w="28" w:type="dxa"/>
          <w:left w:w="28" w:type="dxa"/>
          <w:bottom w:w="28" w:type="dxa"/>
          <w:right w:w="28" w:type="dxa"/>
        </w:tblCellMar>
      </w:tblPr>
      <w:tblGrid>
        <w:gridCol w:w="2708"/>
        <w:gridCol w:w="2196"/>
        <w:gridCol w:w="2206"/>
        <w:gridCol w:w="211"/>
        <w:gridCol w:w="976"/>
        <w:gridCol w:w="109"/>
        <w:gridCol w:w="109"/>
        <w:gridCol w:w="109"/>
        <w:gridCol w:w="109"/>
        <w:gridCol w:w="231"/>
        <w:gridCol w:w="1070"/>
        <w:gridCol w:w="171"/>
      </w:tblGrid>
      <w:tr>
        <w:trPr/>
        <w:tc>
          <w:tcPr>
            <w:tcW w:w="270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Investment in Real Estate (including $284,896 and $288,680 related to consolidated variable interest entities, see Note 5)</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5,175,911 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5,789,787 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5,697,237 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Rents Received in Advance and Security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2,929,151 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L.P.'s Partners' Capital:</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Partner Units (132,572,946 and 132,470,326 units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2,614,216 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 Units (4,457,995 and 4,031,088 units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First Industrial, L.P.'s Partners' Capital</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2,760,960 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2,768,086 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5,697,237 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tbl>
      <w:tblPr>
        <w:tblW w:w="10205" w:type="dxa"/>
        <w:jc w:val="center"/>
        <w:tblInd w:w="0" w:type="dxa"/>
        <w:tblLayout w:type="fixed"/>
        <w:tblCellMar>
          <w:top w:w="28" w:type="dxa"/>
          <w:left w:w="28" w:type="dxa"/>
          <w:bottom w:w="28" w:type="dxa"/>
          <w:right w:w="28" w:type="dxa"/>
        </w:tblCellMar>
      </w:tblPr>
      <w:tblGrid>
        <w:gridCol w:w="1263"/>
        <w:gridCol w:w="1033"/>
        <w:gridCol w:w="915"/>
        <w:gridCol w:w="278"/>
        <w:gridCol w:w="1092"/>
        <w:gridCol w:w="144"/>
        <w:gridCol w:w="109"/>
        <w:gridCol w:w="109"/>
        <w:gridCol w:w="109"/>
        <w:gridCol w:w="278"/>
        <w:gridCol w:w="1092"/>
        <w:gridCol w:w="144"/>
        <w:gridCol w:w="109"/>
        <w:gridCol w:w="109"/>
        <w:gridCol w:w="109"/>
        <w:gridCol w:w="270"/>
        <w:gridCol w:w="1058"/>
        <w:gridCol w:w="139"/>
        <w:gridCol w:w="109"/>
        <w:gridCol w:w="109"/>
        <w:gridCol w:w="109"/>
        <w:gridCol w:w="267"/>
        <w:gridCol w:w="1049"/>
        <w:gridCol w:w="202"/>
      </w:tblGrid>
      <w:tr>
        <w:trPr/>
        <w:tc>
          <w:tcPr>
            <w:tcW w:w="126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Fees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180,163 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357,237 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Development Services Expense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101,212 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233,743 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209,391 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(21,929)</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(35,517)</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Equity in Income (Loss) of Joint Venture and Income Tax Benefit (Provision)</w:t>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Joint Venture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227,612 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109,763 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the Noncontrolling Interests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 and Participating Securities</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56,855 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227,528 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106,401 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Allocable to Participating Securities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227,218 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106,224 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Unit:</w:t>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Unit:</w:t>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 - Basic</w:t>
            </w:r>
          </w:p>
        </w:tc>
        <w:tc>
          <w:tcPr>
            <w:tcW w:w="13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135,935 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135,464 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135,925 </w:t>
            </w:r>
          </w:p>
        </w:tc>
        <w:tc>
          <w:tcPr>
            <w:tcW w:w="13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135,452 </w:t>
            </w:r>
          </w:p>
        </w:tc>
        <w:tc>
          <w:tcPr>
            <w:tcW w:w="2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 - Diluted</w:t>
            </w:r>
          </w:p>
        </w:tc>
        <w:tc>
          <w:tcPr>
            <w:tcW w:w="137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136,473 </w:t>
            </w:r>
          </w:p>
        </w:tc>
        <w:tc>
          <w:tcPr>
            <w:tcW w:w="1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135,885 </w:t>
            </w:r>
          </w:p>
        </w:tc>
        <w:tc>
          <w:tcPr>
            <w:tcW w:w="1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136,483 </w:t>
            </w:r>
          </w:p>
        </w:tc>
        <w:tc>
          <w:tcPr>
            <w:tcW w:w="1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136,000 </w:t>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000"/>
        <w:gridCol w:w="876"/>
        <w:gridCol w:w="888"/>
        <w:gridCol w:w="324"/>
        <w:gridCol w:w="1110"/>
        <w:gridCol w:w="167"/>
        <w:gridCol w:w="109"/>
        <w:gridCol w:w="109"/>
        <w:gridCol w:w="109"/>
        <w:gridCol w:w="324"/>
        <w:gridCol w:w="1110"/>
        <w:gridCol w:w="167"/>
        <w:gridCol w:w="109"/>
        <w:gridCol w:w="109"/>
        <w:gridCol w:w="109"/>
        <w:gridCol w:w="295"/>
        <w:gridCol w:w="1156"/>
        <w:gridCol w:w="152"/>
        <w:gridCol w:w="109"/>
        <w:gridCol w:w="109"/>
        <w:gridCol w:w="109"/>
        <w:gridCol w:w="292"/>
        <w:gridCol w:w="1144"/>
        <w:gridCol w:w="219"/>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2764"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 (Loss) on Derivative Instruments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Derivative Instruments</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Derivative Instruments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236,063 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Unitholders</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84,073 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51,863 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235,979 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tbl>
      <w:tblPr>
        <w:tblW w:w="10205" w:type="dxa"/>
        <w:jc w:val="center"/>
        <w:tblInd w:w="0" w:type="dxa"/>
        <w:tblLayout w:type="fixed"/>
        <w:tblCellMar>
          <w:top w:w="28" w:type="dxa"/>
          <w:left w:w="28" w:type="dxa"/>
          <w:bottom w:w="28" w:type="dxa"/>
          <w:right w:w="28" w:type="dxa"/>
        </w:tblCellMar>
      </w:tblPr>
      <w:tblGrid>
        <w:gridCol w:w="1162"/>
        <w:gridCol w:w="776"/>
        <w:gridCol w:w="784"/>
        <w:gridCol w:w="196"/>
        <w:gridCol w:w="871"/>
        <w:gridCol w:w="109"/>
        <w:gridCol w:w="109"/>
        <w:gridCol w:w="109"/>
        <w:gridCol w:w="109"/>
        <w:gridCol w:w="196"/>
        <w:gridCol w:w="736"/>
        <w:gridCol w:w="109"/>
        <w:gridCol w:w="109"/>
        <w:gridCol w:w="109"/>
        <w:gridCol w:w="109"/>
        <w:gridCol w:w="250"/>
        <w:gridCol w:w="826"/>
        <w:gridCol w:w="140"/>
        <w:gridCol w:w="109"/>
        <w:gridCol w:w="109"/>
        <w:gridCol w:w="109"/>
        <w:gridCol w:w="345"/>
        <w:gridCol w:w="980"/>
        <w:gridCol w:w="193"/>
        <w:gridCol w:w="109"/>
        <w:gridCol w:w="109"/>
        <w:gridCol w:w="109"/>
        <w:gridCol w:w="196"/>
        <w:gridCol w:w="871"/>
        <w:gridCol w:w="157"/>
      </w:tblGrid>
      <w:tr>
        <w:trPr/>
        <w:tc>
          <w:tcPr>
            <w:tcW w:w="116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2,614,216 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2,768,086 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($0.500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Limited Partner Units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7,288 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2,860,434 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($0.500 Per Unit)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2,703,660 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11,707 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2,878,752 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62"/>
        <w:gridCol w:w="776"/>
        <w:gridCol w:w="784"/>
        <w:gridCol w:w="196"/>
        <w:gridCol w:w="871"/>
        <w:gridCol w:w="109"/>
        <w:gridCol w:w="109"/>
        <w:gridCol w:w="109"/>
        <w:gridCol w:w="109"/>
        <w:gridCol w:w="196"/>
        <w:gridCol w:w="736"/>
        <w:gridCol w:w="109"/>
        <w:gridCol w:w="109"/>
        <w:gridCol w:w="109"/>
        <w:gridCol w:w="109"/>
        <w:gridCol w:w="250"/>
        <w:gridCol w:w="826"/>
        <w:gridCol w:w="140"/>
        <w:gridCol w:w="109"/>
        <w:gridCol w:w="109"/>
        <w:gridCol w:w="109"/>
        <w:gridCol w:w="312"/>
        <w:gridCol w:w="1031"/>
        <w:gridCol w:w="175"/>
        <w:gridCol w:w="109"/>
        <w:gridCol w:w="109"/>
        <w:gridCol w:w="109"/>
        <w:gridCol w:w="196"/>
        <w:gridCol w:w="871"/>
        <w:gridCol w:w="157"/>
      </w:tblGrid>
      <w:tr>
        <w:trPr/>
        <w:tc>
          <w:tcPr>
            <w:tcW w:w="116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2,755,257 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($0.445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2,752,432 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($0.445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2,585,912 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2,743,581 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66"/>
        <w:gridCol w:w="1885"/>
        <w:gridCol w:w="1890"/>
        <w:gridCol w:w="354"/>
        <w:gridCol w:w="1330"/>
        <w:gridCol w:w="196"/>
        <w:gridCol w:w="152"/>
        <w:gridCol w:w="152"/>
        <w:gridCol w:w="152"/>
        <w:gridCol w:w="347"/>
        <w:gridCol w:w="1304"/>
        <w:gridCol w:w="277"/>
      </w:tblGrid>
      <w:tr>
        <w:trPr/>
        <w:tc>
          <w:tcPr>
            <w:tcW w:w="216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L.P.</w:t>
              <w:br/>
              <w:t>CONSOLIDATED STATEMENTS OF CASH FLOWS</w:t>
              <w:br/>
              <w:t>(Unaudited; in thousands)</w:t>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109,763 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Amortization, Including Equity Based Compensation</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Joint Venture</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Settle Derivative Instruments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Rental Income and Expense, Net</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(9,866)</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in Tenant Accounts Receivable, Prepaid Expenses and Other Assets, Net </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Accounts Payable, Accrued Expenses, Other Liabilities, Rents Received in Advance and Security Deposits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202,885 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214,661 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(161,791)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Additions to Investment in Real Estate and Non-Acquisition Tenant Improvements and Lease Costs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(136,995)</w:t>
            </w:r>
          </w:p>
        </w:tc>
        <w:tc>
          <w:tcPr>
            <w:tcW w:w="27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Sales of Investments in Real Estate</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and Investments in the Joint Venture</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Activity</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(40,037)</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(290,048)</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Issuance Costs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on Vested Equity Compensation</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 Distributions Paid</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Mortgage Loan Payable</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Senior Unsecured Notes, Net of Underwriter's Discount</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443,768 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Term Loans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Credit Facility</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Unsecured Credit Facility</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(616,440)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(126,706)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58,654 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(16,733)</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Year</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114,174 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34,949 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85"/>
        <w:gridCol w:w="1742"/>
        <w:gridCol w:w="1749"/>
        <w:gridCol w:w="394"/>
        <w:gridCol w:w="1436"/>
        <w:gridCol w:w="219"/>
        <w:gridCol w:w="193"/>
        <w:gridCol w:w="193"/>
        <w:gridCol w:w="193"/>
        <w:gridCol w:w="386"/>
        <w:gridCol w:w="1405"/>
        <w:gridCol w:w="310"/>
      </w:tblGrid>
      <w:tr>
        <w:trPr/>
        <w:tc>
          <w:tcPr>
            <w:tcW w:w="198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L.P.</w:t>
              <w:br/>
              <w:t>CONSOLIDATED STATEMENTS OF CASH FLOWS (Continued)</w:t>
              <w:br/>
              <w:t>(Unaudited; in thousands)</w:t>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INFORMATION TO STATEMENTS OF CASH FLOWS:</w:t>
            </w:r>
          </w:p>
        </w:tc>
        <w:tc>
          <w:tcPr>
            <w:tcW w:w="2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Capitalized in Connection with Development Activity</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 Liabilities</w:t>
            </w:r>
          </w:p>
        </w:tc>
        <w:tc>
          <w:tcPr>
            <w:tcW w:w="3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3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Operating Activities:</w:t>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Arising from Obtaining Right-of-Use Assets</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Limited Partner Unit Distributions Payable</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69,460 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Limited Partner Units for General Partner Units:</w:t>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Limited Partner Units</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Partner Units</w:t>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Liabilities in Connection with the Acquisition of Real Estate</w:t>
            </w:r>
          </w:p>
        </w:tc>
        <w:tc>
          <w:tcPr>
            <w:tcW w:w="3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Related to Construction in Progress and Additions to Investment in Real Estate</w:t>
            </w:r>
          </w:p>
        </w:tc>
        <w:tc>
          <w:tcPr>
            <w:tcW w:w="3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44,705 </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53,686 </w:t>
            </w:r>
          </w:p>
        </w:tc>
        <w:tc>
          <w:tcPr>
            <w:tcW w:w="3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Improvements Funded by Tenant</w:t>
            </w:r>
          </w:p>
        </w:tc>
        <w:tc>
          <w:tcPr>
            <w:tcW w:w="3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Fully Depreciated Assets</w:t>
            </w:r>
          </w:p>
        </w:tc>
        <w:tc>
          <w:tcPr>
            <w:tcW w:w="39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(21,580)</w:t>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(27,261)</w:t>
            </w:r>
          </w:p>
        </w:tc>
        <w:tc>
          <w:tcPr>
            <w:tcW w:w="3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 AND 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 except per share and Unit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First Industrial Realty Trust, Inc. (the "Company") is a self-administered and fully integrated real estate company which owns, manages, acquires, sells, develops and redevelops industrial real estate. The Company is a Maryland corporation organized on August 10, 1993 and a real estate investment trust ("REIT") as defined in the Internal Revenue Code of 1986 (the "Code"). Unless stated otherwise or the context otherwise requires, the terms "we," "our" and "us" refer to the Company and its subsidiaries, including its operating partnership, First Industrial, L.P. (the "Operating Partnership"), and its consolidated subsidiaries.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began operations on July 1, 1994. The Company's operations are conducted primarily through the Operating Partnership, of which the Company is the sole general partner (the "General Partner"), with an approximate 96.7% ownership interest ("General Partner Units") at June 30, 2026. The Operating Partnership also conducts operations through several other limited partnerships (the "Other Real Estate Partnerships"), numerous limited liability companies ("LLCs") and certain taxable REIT subsidiaries ("TRSs"), the operating data of which, together with that of the Operating Partnership, is consolidated with that of the Company as presented herein. The Operating Partnership holds at least a 99% limited partnership interest in each of the Other Real Estate Partnerships. The general partners of the Other Real Estate Partnerships are separate corporations, wholly-owned by the Company, each with at least a .01% general partnership interest in the Other Real Estate Partnerships. The Company does not have any significant assets or liabilities other than its investment in the Operating Partnership and its 100% ownership interest in the general partners of the Other Real Estate Partnerships. The Company's noncontrolling interest in the Operating Partnership of approximately 3.3% at June 30, 2026 represents the aggregate partnership interest held by the limited partners thereof ("Limited Partner Units" and together with the General Partner Units, the "Units"). The limited partners of the Operating Partnership are persons or entities who contributed their direct or indirect interests in properties to the Operating Partnership in exchange for common Limited Partner Units of the Operating Partnership and/or recipients of RLP Units of the Operating Partnership (see Note 6) pursuant to the Company's stock incentive plan.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 a wholly-owned TRS of the Operating Partnership, we own an equity interest in a joint venture (the "Joint Venture") and we provide various services to the Joint Venture. The Joint Venture is accounted for under the equity method of accounting and the operating data of the Joint Venture is not consolidated with that of the Company or the Operating Partnership as presented herein. During the year ended December 31, 2025, the Joint Venture sold its remaining real estate assets. See Note 5 for more information related to the Joint Venture.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Profits, losses and distributions of the Operating Partnership, the LLCs, the Other Real Estate Partnerships, the TRSs and the Joint Venture are allocated to the general partner and the limited partners, the members or the shareholders, as applicable, of such entities in accordance with the provisions contained within their respective organizational documents.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As of June 30, 2026, we owned 419 industrial properties located in 19 states, containing an aggregate of approximately 71.2 million square feet of gross leasable area ("GLA").</w:t>
      </w:r>
      <w:r>
        <w:rPr>
          <w:color w:val="000000"/>
        </w:rPr>
        <w:t xml:space="preserve"> </w:t>
      </w:r>
      <w:r>
        <w:rPr>
          <w:rFonts w:ascii="Times New Roman;serif" w:hAnsi="Times New Roman;serif"/>
          <w:b w:val="false"/>
          <w:color w:val="000000"/>
          <w:sz w:val="20"/>
        </w:rPr>
        <w:t>Of the 419 properties owned on a consolidated basis, none of them are directly owned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have been prepared in accordance with the accounting policies described in the Consolidated Financial Statements and related notes included in our annual report on Form 10-K for the year ended December 31, 2025 ("2025 Form 10-K") and should be read in conjunction with such Consolidated Financial Statements and related notes. The 2025 year end Consolidated Balance Sheet data included in this Form 10-Q filing was derived from the audited Consolidated Financial Statements in our 2025 Form 10-K, but does not include all disclosures required by accounting principles generally accepted in the United States of America ("GAAP"). The following notes to these interim Consolidated Financial Statements highlight significant changes to the notes included in the December 31, 2025 audited Consolidated Financial Statements included in our 2025 Form 10-K and present interim disclosures as required by the Securities and Exchange Commission.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conform with GAAP, in preparation of our Consolidated Financial Statements we are required to make estimates and assumptions that affect the reported amounts of assets and liabilities and disclosure of contingent assets and liabilities as of June 30, 2026 and December 31, 2025, and the reported amounts of revenues and expenses for the three and six months ended June 30, 2026 and 2025. Actual results could differ from those estimates. In our opinion, the accompanying unaudited interim Consolidated Financial Statements reflect all adjustments necessary for a fair statement of our financial position as of June 30, 2026 and December 31, 2025, the results of our operations and comprehensive income for each of the three and six months ended June 30, 2026 and 2025, and our cash flows for each of the six months ended June 30, 2026 and 2025. All adjustments are of a normal recurring nature.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includes cash held in escrow in connection with gross proceeds from the sales of certain industrial properties. These sales proceeds will be reinvested in qualifying replacement properties under Section 1031 of the Code or returned to us upon expiration of the applicable exchange period. The carrying amount approximates fair value due to the short-term maturity of these investments. For purposes of our Consolidated Statements of Cash Flows, changes in restricted cash are aggregated with cash and cash equivalents.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views the Company as operating within a single business segment. The Chief Operating Decision Maker ("CODM") uses consolidated net income as the primary measure to assess overall company performance and to allocate resources. Consolidated net income is presented in our Consolidated Financial Statements and provides a comprehensive view of the Company's financial performance, including both property and non-property financial results. The CODM reviews significant expenses associated with the Company's single operating segment, including property-related and corporate-level costs, which are presented in the Consolidated Statements of Operations.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do not report asset information for our single segment as it is not utilized by our CODM for assessing performance or allocating resources. Asset values for our properties are reported in our Consolidated Balance Sheets at historical cost which may not reflect current market value.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2024-03, "Disaggregation of Income Statement Expenses" ("ASU 2024-03"). ASU 2024-03 requires enhanced disclosures regarding income statement expenses, including disaggregation of significant categories such as depreciation and amortization of real estate assets, property operating expenses and employee compensation, within relevant expense captions presented in the income statement. ASU 2024-03 is effective for annual periods beginning after December 15, 2026. We are currently evaluating ASU 2024-03 to determine its impact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Investment in Real Estate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acquired one industrial property totaling approximately 0.2 million square feet of GLA as well as one land parcel. We accounted for the property and land parcel as asset acquisitions, with related transaction costs capitalized to the respective asset bases. The following table summarizes the allocation of the aggregate purchase price, excluding transaction costs, for these assets as a group, to the following major asset classes:</w:t>
      </w:r>
    </w:p>
    <w:tbl>
      <w:tblPr>
        <w:tblW w:w="3486" w:type="dxa"/>
        <w:jc w:val="left"/>
        <w:tblInd w:w="0" w:type="dxa"/>
        <w:tblLayout w:type="fixed"/>
        <w:tblCellMar>
          <w:top w:w="28" w:type="dxa"/>
          <w:left w:w="28" w:type="dxa"/>
          <w:bottom w:w="28" w:type="dxa"/>
          <w:right w:w="28" w:type="dxa"/>
        </w:tblCellMar>
      </w:tblPr>
      <w:tblGrid>
        <w:gridCol w:w="869"/>
        <w:gridCol w:w="762"/>
        <w:gridCol w:w="769"/>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Market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Purchase Price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Gain on Sales-Type Lease and Sales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completed the sale of four industrial properties and a land site. The four industrial properties totaled approximately 0.3 million square feet of GLA. The land site sale resulted from the tenant's exercise of its purchase option during the first quarter of 2026, with the sale closing during the second quarter of 2026. Upon exercise of the option, we reassessed the lease classification and concluded, based on various qualitative factors, that it was reasonably certain the tenant would complete the purchase. Accordingly, the lease was reclassified from an operating lease to a sales-type lease, resulting in the derecognition of the carrying value of the property and the recognition of the related gain on sale of real estate. For the six months ended June 30, 2026, aggregate gross proceeds from the sales of these industrial properties and the land site were $160,546, and the related aggregate gain on sale of real estate was $125,623. </w:t>
      </w:r>
    </w:p>
    <w:p>
      <w:pPr>
        <w:pStyle w:val="TextBody"/>
        <w:bidi w:val="0"/>
        <w:spacing w:before="18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Indebtedness</w:t>
      </w:r>
    </w:p>
    <w:p>
      <w:pPr>
        <w:pStyle w:val="TextBody"/>
        <w:bidi w:val="0"/>
        <w:spacing w:lineRule="auto" w:line="288" w:before="180" w:after="283"/>
        <w:ind w:left="0" w:right="0" w:firstLine="495"/>
        <w:jc w:val="left"/>
        <w:rPr/>
      </w:pPr>
      <w:r>
        <w:rPr>
          <w:rFonts w:ascii="Times New Roman;serif" w:hAnsi="Times New Roman;serif"/>
          <w:b w:val="false"/>
          <w:color w:val="000000"/>
          <w:sz w:val="20"/>
        </w:rPr>
        <w:t>The following table discloses certain information regarding our indebtedness:</w:t>
      </w:r>
      <w:r>
        <w:rPr>
          <w:color w:val="000000"/>
        </w:rPr>
        <w:t> </w:t>
      </w:r>
    </w:p>
    <w:tbl>
      <w:tblPr>
        <w:tblW w:w="10031" w:type="dxa"/>
        <w:jc w:val="left"/>
        <w:tblInd w:w="0" w:type="dxa"/>
        <w:tblLayout w:type="fixed"/>
        <w:tblCellMar>
          <w:top w:w="28" w:type="dxa"/>
          <w:left w:w="28" w:type="dxa"/>
          <w:bottom w:w="28" w:type="dxa"/>
          <w:right w:w="28" w:type="dxa"/>
        </w:tblCellMar>
      </w:tblPr>
      <w:tblGrid>
        <w:gridCol w:w="1064"/>
        <w:gridCol w:w="936"/>
        <w:gridCol w:w="939"/>
        <w:gridCol w:w="211"/>
        <w:gridCol w:w="976"/>
        <w:gridCol w:w="109"/>
        <w:gridCol w:w="109"/>
        <w:gridCol w:w="109"/>
        <w:gridCol w:w="109"/>
        <w:gridCol w:w="244"/>
        <w:gridCol w:w="1130"/>
        <w:gridCol w:w="126"/>
        <w:gridCol w:w="109"/>
        <w:gridCol w:w="109"/>
        <w:gridCol w:w="109"/>
        <w:gridCol w:w="374"/>
        <w:gridCol w:w="374"/>
        <w:gridCol w:w="376"/>
        <w:gridCol w:w="109"/>
        <w:gridCol w:w="109"/>
        <w:gridCol w:w="109"/>
        <w:gridCol w:w="250"/>
        <w:gridCol w:w="250"/>
        <w:gridCol w:w="251"/>
        <w:gridCol w:w="109"/>
        <w:gridCol w:w="109"/>
        <w:gridCol w:w="109"/>
        <w:gridCol w:w="319"/>
        <w:gridCol w:w="319"/>
        <w:gridCol w:w="321"/>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Interest</w:t>
              <w:br/>
              <w:t>Rate at</w:t>
              <w:br/>
              <w:t>Issuance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Mortgage Loan Payable </w:t>
            </w:r>
            <w:r>
              <w:rPr>
                <w:rFonts w:ascii="Times New Roman;serif" w:hAnsi="Times New Roman;serif"/>
                <w:b/>
                <w:color w:val="000000"/>
                <w:sz w:val="13"/>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 Gross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5/15/2027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7/15/2028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1/15/2031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4/15/2032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Private Placement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4/20/2027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Private Placement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2/15/2028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Private Placement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4/20/2029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II Private Placement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7/23/2029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Private Placement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2/15/2030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II Private Placement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9/17/2030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Private Placement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9/17/2032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1,448,571 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Unamortized Discounts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1,438,607 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Unsecured Term Loans, Gross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2022 Unsecured Term Loan II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2022 Unsecured Term Loan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 xml:space="preserve">2025 Unsecured Term Loan </w:t>
            </w:r>
            <w:r>
              <w:rPr>
                <w:rFonts w:ascii="Times New Roman;serif" w:hAnsi="Times New Roman;serif"/>
                <w:b/>
                <w:color w:val="000000"/>
                <w:sz w:val="13"/>
              </w:rPr>
              <w:t>(B)(C)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3/17/2028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 xml:space="preserve">2026 Unsecured Term Loan II </w:t>
            </w:r>
            <w:r>
              <w:rPr>
                <w:rFonts w:ascii="Times New Roman;serif" w:hAnsi="Times New Roman;serif"/>
                <w:b/>
                <w:color w:val="000000"/>
                <w:sz w:val="13"/>
              </w:rPr>
              <w:t>(B)(C)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1/22/2029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 xml:space="preserve">2026 Unsecured Term Loan </w:t>
            </w:r>
            <w:r>
              <w:rPr>
                <w:rFonts w:ascii="Times New Roman;serif" w:hAnsi="Times New Roman;serif"/>
                <w:b/>
                <w:color w:val="000000"/>
                <w:sz w:val="13"/>
              </w:rPr>
              <w:t>(B)(C)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1/22/2030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925,000 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 xml:space="preserve">Unsecured Term Loans, Net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922,494 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Unsecured Credit Facility </w:t>
            </w:r>
            <w:r>
              <w:rPr>
                <w:rFonts w:ascii="Times New Roman;serif" w:hAnsi="Times New Roman;serif"/>
                <w:b/>
                <w:color w:val="000000"/>
                <w:sz w:val="13"/>
              </w:rPr>
              <w:t>(D)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3/16/2029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80" w:after="283"/>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As of June 30, 2026, the mortgage loan payable is collateralized by industrial properties with a net carrying value of $28,982. We believe the Operating Partnership and the Company were in compliance with all covenants relating to our mortgage loan as of June 30, 2026.</w:t>
      </w:r>
    </w:p>
    <w:p>
      <w:pPr>
        <w:pStyle w:val="TextBody"/>
        <w:bidi w:val="0"/>
        <w:spacing w:lineRule="auto" w:line="288" w:before="180" w:after="283"/>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 xml:space="preserve">The interest rate at June 30, 2026 reflects the impact of derivative instruments which effectively fix the interest rates on $925,000 of the Unsecured Term Loans. See Note 10. </w:t>
      </w:r>
    </w:p>
    <w:p>
      <w:pPr>
        <w:pStyle w:val="TextBody"/>
        <w:bidi w:val="0"/>
        <w:spacing w:lineRule="auto" w:line="288" w:before="180" w:after="283"/>
        <w:jc w:val="both"/>
        <w:rPr/>
      </w:pPr>
      <w:r>
        <w:rPr>
          <w:rFonts w:ascii="Times New Roman;serif" w:hAnsi="Times New Roman;serif"/>
          <w:b w:val="false"/>
          <w:color w:val="000000"/>
          <w:sz w:val="13"/>
        </w:rPr>
        <w:t xml:space="preserve">(C) </w:t>
      </w:r>
      <w:r>
        <w:rPr>
          <w:rFonts w:ascii="Times New Roman;serif" w:hAnsi="Times New Roman;serif"/>
          <w:b w:val="false"/>
          <w:color w:val="000000"/>
          <w:sz w:val="20"/>
        </w:rPr>
        <w:t>At our option, and subject to satisfaction of certain conditions, the maturity dates of the 2025 Unsecured Term Loan and the 2026 Unsecured Term Loan II may be extended for up to two additional one-year periods and the maturity date of the 2026 Unsecured Term Loan may be extended for an additional one-year period</w:t>
      </w:r>
      <w:r>
        <w:rPr>
          <w:rFonts w:ascii="sans-serif" w:hAnsi="sans-serif"/>
          <w:b w:val="false"/>
          <w:color w:val="000000"/>
          <w:sz w:val="22"/>
        </w:rPr>
        <w:t xml:space="preserve">. </w:t>
      </w:r>
    </w:p>
    <w:p>
      <w:pPr>
        <w:pStyle w:val="TextBody"/>
        <w:bidi w:val="0"/>
        <w:spacing w:lineRule="auto" w:line="288" w:before="180" w:after="283"/>
        <w:jc w:val="both"/>
        <w:rPr/>
      </w:pPr>
      <w:r>
        <w:rPr>
          <w:rFonts w:ascii="Times New Roman;serif" w:hAnsi="Times New Roman;serif"/>
          <w:b w:val="false"/>
          <w:color w:val="000000"/>
          <w:sz w:val="13"/>
        </w:rPr>
        <w:t xml:space="preserve">(D) </w:t>
      </w:r>
      <w:r>
        <w:rPr>
          <w:rFonts w:ascii="Times New Roman;serif" w:hAnsi="Times New Roman;serif"/>
          <w:b w:val="false"/>
          <w:color w:val="000000"/>
          <w:sz w:val="20"/>
        </w:rPr>
        <w:t xml:space="preserve">The revolving credit facility has a capacity of $850,000 and, at our option and subject to the satisfaction of certain conditions, the maturity date may be extended pursuant to two six-month extension options. Amounts exclude unamortized debt issuance costs of $6,209 and $7,356 as of June 30, 2026 and December 31, 2025, respectively, which are included in the line item </w:t>
      </w:r>
      <w:r>
        <w:rPr>
          <w:rFonts w:ascii="Times New Roman;serif" w:hAnsi="Times New Roman;serif"/>
          <w:b w:val="false"/>
          <w:i/>
          <w:color w:val="000000"/>
          <w:sz w:val="20"/>
        </w:rPr>
        <w:t>Prepaid Expenses and Other Assets, Net</w:t>
      </w:r>
      <w:r>
        <w:rPr>
          <w:color w:val="000000"/>
        </w:rPr>
        <w:t xml:space="preserve"> </w:t>
      </w:r>
      <w:r>
        <w:rPr>
          <w:rFonts w:ascii="Times New Roman;serif" w:hAnsi="Times New Roman;serif"/>
          <w:b w:val="false"/>
          <w:color w:val="000000"/>
          <w:sz w:val="20"/>
        </w:rPr>
        <w:t>on the Consolidated Balance Sheets.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Unsecured Term Loans, Net</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22, 2026, we refinanced our $425,000 unsecured term loan (as amended and restated, the "2026 Unsecured Term Loan"), extending its maturity, and our $300,000 unsecured term loan (as amended and restated, the "2026 Unsecured Term Loan II") extending its maturity and increasing the principal by $75,000 to $375,000. In conjunction with these refinancings, we also amended our existing $200,000 unsecured term loan (the "2025 Unsecured Term Loan" and, collectively with the 2026 Unsecured Term Loan and the 2026 Unsecured Term Loan II, the "Unsecured Term Loans") to, among other things, eliminate the 10 basis point Secured Overnight Financing Rate ("SOFR") adjustment across all Unsecured Term Loans. </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Each of the Unsecured Term Loans provides for monthly interest-only payments and bears interest at a variable rate based on SOFR plus a credit spread of 85 basis points, based on our current credit ratings and consolidated leverage ratio. Each loan is subject to interest rate swap arrangements that fix all or a portion of the SOFR component. See Note 10. Each loan may also be increased at our request and subject to lender participation and customary conditions.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Key Terms of the Unsecured Term Loans: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2026 Unsecured Term Loan</w:t>
      </w:r>
      <w:r>
        <w:rPr>
          <w:rFonts w:ascii="Times New Roman;serif" w:hAnsi="Times New Roman;serif"/>
          <w:b w:val="false"/>
          <w:color w:val="000000"/>
          <w:sz w:val="20"/>
        </w:rPr>
        <w:t>: $425,000 principal; matures January 22, 2030; one optional one-year extension. We have interest rate swaps with an aggregate notional value of $425,000 that fix the SOFR component at 2.69% as of June 30, 2026 and mature on September 30, 2027. The all-in interest rate was 3.54% at June 30, 2026. The loan may be increased up to $575,000.</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2026 Unsecured Term Loan II</w:t>
      </w:r>
      <w:r>
        <w:rPr>
          <w:rFonts w:ascii="Times New Roman;serif" w:hAnsi="Times New Roman;serif"/>
          <w:b w:val="false"/>
          <w:color w:val="000000"/>
          <w:sz w:val="20"/>
        </w:rPr>
        <w:t>: principal increased from $300,000 to $375,000; matures January 22, 2029; two optional one-year extensions. We have interest rate swaps with an aggregate notional value of $300,000 that fix the SOFR component at 3.47% as of June 30, 2026, with $150,000 maturing August 1, 2027 and $150,000 maturing December 1, 2028. After giving effect to these swaps, $75,000 of the outstanding principal remains subject to a variable interest rate. The all-in interest rate was 4.35% at June 30, 2026. The loan may be increased up to $475,000.</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2025 Unsecured Term Loan</w:t>
      </w:r>
      <w:r>
        <w:rPr>
          <w:rFonts w:ascii="Times New Roman;serif" w:hAnsi="Times New Roman;serif"/>
          <w:b w:val="false"/>
          <w:color w:val="000000"/>
          <w:sz w:val="20"/>
        </w:rPr>
        <w:t>: $200,000 principal; matures March 17, 2028; two optional one-year extensions. We have interest rate swaps with an aggregate notional value of $200,000 that fix the SOFR component at 3.15% as of June 30, 2026 and mature on February 1, 2029. The all-in interest rate was 4.00% at June 30, 2026. The loan may be increased up to $460,000.</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a schedule of the stated maturities and scheduled principal payments of our indebtedness, exclusive of discounts, debt issuance costs and the impact of extension options, for the next five years as of June 30, and thereafter: </w:t>
      </w:r>
    </w:p>
    <w:tbl>
      <w:tblPr>
        <w:tblW w:w="3021" w:type="dxa"/>
        <w:jc w:val="left"/>
        <w:tblInd w:w="0" w:type="dxa"/>
        <w:tblLayout w:type="fixed"/>
        <w:tblCellMar>
          <w:top w:w="28" w:type="dxa"/>
          <w:left w:w="28" w:type="dxa"/>
          <w:bottom w:w="28" w:type="dxa"/>
          <w:right w:w="28" w:type="dxa"/>
        </w:tblCellMar>
      </w:tblPr>
      <w:tblGrid>
        <w:gridCol w:w="608"/>
        <w:gridCol w:w="534"/>
        <w:gridCol w:w="538"/>
        <w:gridCol w:w="211"/>
        <w:gridCol w:w="97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2,580,686 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unsecured revolving credit agreement (the "Unsecured Credit Facility"), Unsecured Term Loans, our senior notes issued in private placements (the "Private Placement Notes") and the indentures governing our senior unsecured notes contain certain financial covenants. These include, among others, restrictions on the incurrence of additional indebtedness and requirements related to debt service coverage ratios. Under the terms of the Unsecured Credit Facility and Unsecured Term Loans, an event of default can occur if the lenders, in their good faith judgment, determine that a material adverse change has occurred, which could prevent timely repayment or materially impair our ability to perform our obligations under the loan agreements. We believe the Operating Partnership and the Company were in compliance with all covenants under the Unsecured Credit Facility, the Unsecured Term Loans, the Private Placement Notes and the indentures governing our senior unsecured notes as of June 30, 2026. However, these financial covenants are complex and there can be no assurance that these provisions would not be interpreted by our lenders and noteholders in a manner that could impose and cause us to incur material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180" w:after="283"/>
        <w:ind w:left="0" w:right="0" w:firstLine="540"/>
        <w:jc w:val="left"/>
        <w:rPr/>
      </w:pPr>
      <w:r>
        <w:rPr>
          <w:rFonts w:ascii="Times New Roman;serif" w:hAnsi="Times New Roman;serif"/>
          <w:b w:val="false"/>
          <w:color w:val="000000"/>
          <w:sz w:val="20"/>
        </w:rPr>
        <w:t>At June 30, 2026 and December 31, 2025, the fair value of our indebtedness was as follows:</w:t>
      </w:r>
      <w:r>
        <w:rPr>
          <w:color w:val="000000"/>
        </w:rPr>
        <w:t> </w:t>
      </w:r>
    </w:p>
    <w:tbl>
      <w:tblPr>
        <w:tblW w:w="8639" w:type="dxa"/>
        <w:jc w:val="left"/>
        <w:tblInd w:w="0" w:type="dxa"/>
        <w:tblLayout w:type="fixed"/>
        <w:tblCellMar>
          <w:top w:w="28" w:type="dxa"/>
          <w:left w:w="28" w:type="dxa"/>
          <w:bottom w:w="28" w:type="dxa"/>
          <w:right w:w="28" w:type="dxa"/>
        </w:tblCellMar>
      </w:tblPr>
      <w:tblGrid>
        <w:gridCol w:w="881"/>
        <w:gridCol w:w="771"/>
        <w:gridCol w:w="77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Payable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2,562,893 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2,525,357 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80" w:after="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The carrying amounts include unamortized discounts and exclude unamortized debt issuance costs.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our mortgage loan payable was determined by discounting the future cash flows using current rates at which similar loans with comparable remaining maturities would be issued. These rates were internally estimated. The fair value of the senior unsecured notes was determined based on current rates as advised by our bankers. These rates were based upon recent trades within the same series of the senior unsecured notes, trades for senior unsecured notes with comparable maturities, trades for fixed rate unsecured notes from companies with profiles similar to ours, as well as overall economic conditions. For the Unsecured Credit Facility and the Unsecured Term Loans, the fair value was calculated by discounting future cash flows using current rates, as advised by our bankers, reflecting rates at which loans with similar terms and credit ratings would be issued, assuming no repayment before maturity. We concluded that our fair value determination for our mortgage loan payable, senior unsecured notes, Unsecured Term Loans and Unsecured Credit Facility primarily relied on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5. Variable Interest Entities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Other Real Estate Partnerships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Other Real Estate Partnerships are variable interest entities ("VIEs") of the Operating Partnership and the Operating Partnership is the primary beneficiary, thus causing the Other Real Estate Partnerships to be consolidated by the Operating Partnership. In addition, the Operating Partnership is a VIE of the Company and the Company is the primary beneficiary.</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the Other Real Estate Partnerships, as reflected in our Consolidated Balance Sheets. All amounts are shown net of intercompany eliminations:</w:t>
      </w:r>
    </w:p>
    <w:tbl>
      <w:tblPr>
        <w:tblW w:w="7891" w:type="dxa"/>
        <w:jc w:val="left"/>
        <w:tblInd w:w="0" w:type="dxa"/>
        <w:tblLayout w:type="fixed"/>
        <w:tblCellMar>
          <w:top w:w="28" w:type="dxa"/>
          <w:left w:w="28" w:type="dxa"/>
          <w:bottom w:w="28" w:type="dxa"/>
          <w:right w:w="28" w:type="dxa"/>
        </w:tblCellMar>
      </w:tblPr>
      <w:tblGrid>
        <w:gridCol w:w="1763"/>
        <w:gridCol w:w="1551"/>
        <w:gridCol w:w="1560"/>
        <w:gridCol w:w="211"/>
        <w:gridCol w:w="826"/>
        <w:gridCol w:w="109"/>
        <w:gridCol w:w="109"/>
        <w:gridCol w:w="109"/>
        <w:gridCol w:w="109"/>
        <w:gridCol w:w="273"/>
        <w:gridCol w:w="1072"/>
        <w:gridCol w:w="199"/>
      </w:tblGrid>
      <w:tr>
        <w:trPr/>
        <w:tc>
          <w:tcPr>
            <w:tcW w:w="176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Real Estate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328,676 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Rents Received in Advance and Security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Partners'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328,676 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Joint Venture</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Joint Venture was formed for the purpose of developing, leasing, operating and selling land located in the Phoenix, Arizona metropolitan area. We hold our interest in the Joint Venture through a consolidated partnership (the "Joint Venture Partnership") in which we own an 88% interest and a third-party partner owns the remaining 12%. As we have the power to direct the activities that most significantly impact the economic performance of the Joint Venture Partnership, we consolidate the Joint Venture Partnership and reflect our partner's share as Noncontrolling Interest (see Note 6). The Joint Venture Partnership holds a 49% interest in the unconsolidated Joint Venture, which we account for under the equity method of accounting. Accordingly, we have an effective 43% interest in the Joint Venture, while our third-party partner has an effective 6% interest. The remaining 51% interest in the Joint Venture is owned directly by unrelated third-party partners. The Joint Venture Partnership is held through a wholly-owned TRS of the Operating Partnership. During the year ended December 31, 2025, the Joint Venture sold its remaining real estate assets.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operating agreement for the Joint Venture, we act as the managing member and are entitled to receive fees for providing management, leasing, development, disposition and asset management services. In addition, we may earn incentive fees based on the ultimate financial performance of the Joint Venture. </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earned fees of $81 and $807, respectively, from the Joint Venture, related to asset management, property management, leasing and development services we provided to the Joint Venture, of which $0 and $75, respectively, were deferred due to our economic interest in the Joint Venture. During the six months ended June 30, 2026 and 2025, we incurred $49 and $334, respectively, in fees paid for third-party development, property management and leasing services associated with the Joint Venture. </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of the Joint Venture for the six months ended June 30, 2026 and 2025 was $276 and $39,786, respectively. Net income for the six months ended June 30, 2025 included a gain on sale of $40,029, of which $39,591 related to the sale of two industrial properties totaling approximately 0.8 million square feet of GLA (the "JV Buildings A &amp; B"). Our economic share of the gain related to the sale of JV Buildings A &amp; B for the six months ended June 30, 2025 was $17,072. However, as we acquired the properties from the Joint Venture, our share of the gain on sale was offset against the basis of the acquired real estate.</w:t>
      </w:r>
    </w:p>
    <w:p>
      <w:pPr>
        <w:pStyle w:val="TextBody"/>
        <w:bidi w:val="0"/>
        <w:spacing w:lineRule="auto" w:line="288" w:before="180" w:after="180"/>
        <w:ind w:left="0" w:right="0" w:firstLine="540"/>
        <w:jc w:val="both"/>
        <w:rPr/>
      </w:pPr>
      <w:r>
        <w:rPr>
          <w:rFonts w:ascii="Times New Roman;serif" w:hAnsi="Times New Roman;serif"/>
          <w:b w:val="false"/>
          <w:color w:val="000000"/>
          <w:sz w:val="20"/>
        </w:rPr>
        <w:t xml:space="preserve">During the six months ended June 30, 2026 and 2025, we earned incentive fees of $55 and $7,957, respectively, from the Joint Venture. In connection with our acquisition of JV Buildings A &amp; B during the six months ended June 30, 2025, we offset $6,968 of incentive fees against the basis of the acquired real estate. As a result, $989 of incentive fees was recognized in </w:t>
      </w:r>
      <w:r>
        <w:rPr>
          <w:rFonts w:ascii="Times New Roman;serif" w:hAnsi="Times New Roman;serif"/>
          <w:b w:val="false"/>
          <w:i/>
          <w:color w:val="000000"/>
          <w:sz w:val="20"/>
        </w:rPr>
        <w:t xml:space="preserve">Equity In Income of Joint Venture </w:t>
      </w:r>
      <w:r>
        <w:rPr>
          <w:rFonts w:ascii="Times New Roman;serif" w:hAnsi="Times New Roman;serif"/>
          <w:b w:val="false"/>
          <w:color w:val="000000"/>
          <w:sz w:val="20"/>
        </w:rPr>
        <w:t xml:space="preserve">on the Consolidated Statements of Operations during the six months ended June 30, 2025.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provided a completion guarantee to the Joint Venture related to the remaining infrastructure work associated with three industrial buildings that the Joint Venture substantially completed during the year ended December 31, 2024 and sold during the year ended December 31, 2025. The remaining infrastructure work is being performed by a third-party general contractor pursuant to a guaranteed maximum price contract. As of June 30, 2026, the Joint Venture had sufficient cash reserves to fund the remaining infrastructure obligations. Although we cannot reasonably estimate the amount of additional costs, if any, that we may incur under the completion guarantee, we do not expect to make any material payments.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our assessment of the appropriate accounting treatment for the Joint Venture, we reviewed the operating agreement of the Joint Venture in order to determine our rights and the rights of our joint venture partners, including whether those rights are protective or participating. The Joint Venture's operating agreement contains certain protective rights, such as the requirement of both members' approval to sell, finance or refinance the property and to pay capital expenditures and operating expenditures outside of the approved budget. Also, we and our Joint Venture partners jointly (i) approve the annual budget, (ii) approve certain expenditures, (iii) review and approve the Joint Venture's tax return before filing and (iv) approve each lease at a developed property. We consider the latter rights substantive participation rights that result in shared, joint power over the activities that most significantly impact the performance of the Joint Venture. As such, we concluded to account for our investment in the Joint Venture under the equity method of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Equity of the Company and Partners' Capital of the Operating Partnership</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Noncontrolling Interest of the Company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equity positions of various individuals and entities that contributed their properties to the Operating Partnership in exchange for Limited Partner Units, as well as the equity positions of the holders of Limited Partner Units issued in connection with the grant of restricted limited partner Units ("RLP Units") pursuant to the Company's stock incentive plan, are collectively referred to as the "Noncontrolling Interests." An RLP Unit is a class of limited partnership interest of the Operating Partnership that is structured as a "profits interest" for U.S. federal income tax purposes and is an award that is granted under our stock incentive plan (see Note 9). Generally, RLP Units entitle the holder to receive distributions from the Operating Partnership that are equivalent to the dividends and distributions that would be made with respect to the number of shares of the Company's common stock underlying such RLP Units, though receipt of such distributions may be delayed or made contingent on vesting. Once an RLP Unit has vested and received allocations of book income sufficient to increase the book capital account balance associated with such RLP Unit (which will initially be zero) equal to, on a per-unit basis, the book capital account balance associated with a "common" Limited Partner Unit of the Operating Partnership, it automatically becomes a common Limited Partner Unit that is convertible by the holder to one share of the Company's common stock or a cash equivalent, at the Company's option. Net income is allocated to the Noncontrolling Interests based on the weighted average ownership percentage during the period.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Noncontrolling Interest - Joint Venture</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Our ownership interest in the Joint Venture is held through the Joint Venture Partnership with a third-party partner and we concluded that we hold the power to direct the activities that most significantly impact the economic performance of the Joint Venture Partnership. As a result, we consolidate the Joint Venture Partnership and reflect our partner's interest in the Joint Venture Partnership that invests in the Joint Venture as a Noncontrolling Interest. Our partner's share of the Joint Venture Partnership's income (loss) was $9 and ($7) for the three months ended June 30, 2026 and 2025, respectively, and $22 and $3,298 for the six months ended June 30, 2026 and 2025, respectively. These amounts are reflected in the </w:t>
      </w:r>
      <w:r>
        <w:rPr>
          <w:rFonts w:ascii="Times New Roman;serif" w:hAnsi="Times New Roman;serif"/>
          <w:b w:val="false"/>
          <w:i/>
          <w:color w:val="000000"/>
          <w:sz w:val="20"/>
        </w:rPr>
        <w:t xml:space="preserve">Equity in Income (Loss) of Joint Venture </w:t>
      </w:r>
      <w:r>
        <w:rPr>
          <w:rFonts w:ascii="Times New Roman;serif" w:hAnsi="Times New Roman;serif"/>
          <w:b w:val="false"/>
          <w:color w:val="000000"/>
          <w:sz w:val="20"/>
        </w:rPr>
        <w:t xml:space="preserve">and the </w:t>
      </w:r>
      <w:r>
        <w:rPr>
          <w:rFonts w:ascii="Times New Roman;serif" w:hAnsi="Times New Roman;serif"/>
          <w:b w:val="false"/>
          <w:i/>
          <w:color w:val="000000"/>
          <w:sz w:val="20"/>
        </w:rPr>
        <w:t>Net Income Attributable to the</w:t>
      </w:r>
      <w:r>
        <w:rPr>
          <w:color w:val="000000"/>
        </w:rPr>
        <w:t xml:space="preserve"> </w:t>
      </w:r>
      <w:r>
        <w:rPr>
          <w:rFonts w:ascii="Times New Roman;serif" w:hAnsi="Times New Roman;serif"/>
          <w:b w:val="false"/>
          <w:i/>
          <w:color w:val="000000"/>
          <w:sz w:val="20"/>
        </w:rPr>
        <w:t>Noncontrolling Interests</w:t>
      </w:r>
      <w:r>
        <w:rPr>
          <w:color w:val="000000"/>
        </w:rPr>
        <w:t xml:space="preserve"> </w:t>
      </w:r>
      <w:r>
        <w:rPr>
          <w:rFonts w:ascii="Times New Roman;serif" w:hAnsi="Times New Roman;serif"/>
          <w:b w:val="false"/>
          <w:color w:val="000000"/>
          <w:sz w:val="20"/>
        </w:rPr>
        <w:t xml:space="preserve">line items on the Consolidated Statements of Operations. The </w:t>
      </w:r>
      <w:r>
        <w:rPr>
          <w:rFonts w:ascii="Times New Roman;serif" w:hAnsi="Times New Roman;serif"/>
          <w:b w:val="false"/>
          <w:i/>
          <w:color w:val="000000"/>
          <w:sz w:val="20"/>
        </w:rPr>
        <w:t>Noncontrolling Interests</w:t>
      </w:r>
      <w:r>
        <w:rPr>
          <w:color w:val="000000"/>
        </w:rPr>
        <w:t xml:space="preserve"> </w:t>
      </w:r>
      <w:r>
        <w:rPr>
          <w:rFonts w:ascii="Times New Roman;serif" w:hAnsi="Times New Roman;serif"/>
          <w:b w:val="false"/>
          <w:color w:val="000000"/>
          <w:sz w:val="20"/>
        </w:rPr>
        <w:t xml:space="preserve">line item on the Consolidated Balance Sheets includes our third-party partner's interest of $497 and $5,971 at June 30, 2026 and December 31, 2025,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21, 2025, we entered into distribution agreements with certain sales agents to sell, from time to time, up to 16,000,000 shares of the Company's common stock, for up to $800,000 in aggregate gross sales proceeds, through "at-the-market" offerings (the "ATM Program"). Each distribution agreement has a term expiring on May 7, 2028.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ATM Program, sales are to be made through transactions that are deemed to be "at-the-market" offerings, including sales made directly on the New York Stock Exchange, sales made through a market maker other than on an exchange or sales made through privately negotiated transactions. During the six months ended June 30, 2026, we did not issue any shares of the Company's common stock under the ATM Program.</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2026, we authorized a share purchase program for the repurchase of up to $250,000 outstanding shares of the Company's common stock on the open market, in privately negotiated transactions or by other methods, with the amount and timing of the repurchases to be determined at the Company's discretion, depending on market conditions and corporate needs. During the six months ended June 30, 2026, we did not purchase any common stock of the Company in connection with the share 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Accumulated Other Comprehensive Income (Loss)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accumulated other comprehensive income (loss) by component for the Company and the Operating Partnership for the six months ended June 30, 2026:</w:t>
      </w:r>
    </w:p>
    <w:tbl>
      <w:tblPr>
        <w:tblW w:w="10205" w:type="dxa"/>
        <w:jc w:val="left"/>
        <w:tblInd w:w="0" w:type="dxa"/>
        <w:tblLayout w:type="fixed"/>
        <w:tblCellMar>
          <w:top w:w="28" w:type="dxa"/>
          <w:left w:w="28" w:type="dxa"/>
          <w:bottom w:w="28" w:type="dxa"/>
          <w:right w:w="28" w:type="dxa"/>
        </w:tblCellMar>
      </w:tblPr>
      <w:tblGrid>
        <w:gridCol w:w="979"/>
        <w:gridCol w:w="531"/>
        <w:gridCol w:w="532"/>
        <w:gridCol w:w="229"/>
        <w:gridCol w:w="755"/>
        <w:gridCol w:w="128"/>
        <w:gridCol w:w="109"/>
        <w:gridCol w:w="109"/>
        <w:gridCol w:w="109"/>
        <w:gridCol w:w="412"/>
        <w:gridCol w:w="1363"/>
        <w:gridCol w:w="231"/>
        <w:gridCol w:w="109"/>
        <w:gridCol w:w="109"/>
        <w:gridCol w:w="109"/>
        <w:gridCol w:w="576"/>
        <w:gridCol w:w="1285"/>
        <w:gridCol w:w="323"/>
        <w:gridCol w:w="109"/>
        <w:gridCol w:w="109"/>
        <w:gridCol w:w="109"/>
        <w:gridCol w:w="368"/>
        <w:gridCol w:w="1214"/>
        <w:gridCol w:w="298"/>
      </w:tblGrid>
      <w:tr>
        <w:trPr/>
        <w:tc>
          <w:tcPr>
            <w:tcW w:w="97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of the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 (Loss) Income Attributable to Noncontrolling Interest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of the Company</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11,458 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11,458 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11,173 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8,451 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11,325 </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reclassifications out of accumulated other comprehensive income for both the Company and the Operating Partnership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665"/>
        <w:gridCol w:w="585"/>
        <w:gridCol w:w="586"/>
        <w:gridCol w:w="109"/>
        <w:gridCol w:w="109"/>
        <w:gridCol w:w="109"/>
        <w:gridCol w:w="269"/>
        <w:gridCol w:w="818"/>
        <w:gridCol w:w="149"/>
        <w:gridCol w:w="109"/>
        <w:gridCol w:w="109"/>
        <w:gridCol w:w="109"/>
        <w:gridCol w:w="269"/>
        <w:gridCol w:w="818"/>
        <w:gridCol w:w="149"/>
        <w:gridCol w:w="109"/>
        <w:gridCol w:w="109"/>
        <w:gridCol w:w="109"/>
        <w:gridCol w:w="260"/>
        <w:gridCol w:w="792"/>
        <w:gridCol w:w="145"/>
        <w:gridCol w:w="109"/>
        <w:gridCol w:w="109"/>
        <w:gridCol w:w="109"/>
        <w:gridCol w:w="260"/>
        <w:gridCol w:w="792"/>
        <w:gridCol w:w="145"/>
        <w:gridCol w:w="109"/>
        <w:gridCol w:w="109"/>
        <w:gridCol w:w="109"/>
        <w:gridCol w:w="544"/>
        <w:gridCol w:w="544"/>
        <w:gridCol w:w="780"/>
      </w:tblGrid>
      <w:tr>
        <w:trPr/>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Amounts Reclassified from Accumulated </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Details about Accumulated </w:t>
              <w:br/>
              <w:t>Other Comprehensive (Income) Loss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Items in the Consolidated Statements of Operations</w:t>
            </w:r>
          </w:p>
        </w:tc>
      </w:tr>
      <w:tr>
        <w:trPr/>
        <w:tc>
          <w:tcPr>
            <w:tcW w:w="18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Amortization of Previously Settled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Receipts from our Counterparties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(7,368)</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the fair value of derivatives designated and that qualify as cash flow hedges is recorded in other comprehensive income and is subsequently reclassified to earnings through interest expense over the life of the derivative or over the life of the debt. In the next 12 months, we estimate that approximately $7,667 will be reclassified to net income as a decrease to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Earnings Per Share and Earnings Per Unit ("EPS"/"EPU")</w:t>
      </w:r>
    </w:p>
    <w:p>
      <w:pPr>
        <w:pStyle w:val="TextBody"/>
        <w:bidi w:val="0"/>
        <w:spacing w:lineRule="auto" w:line="288" w:before="180" w:after="283"/>
        <w:ind w:left="0" w:right="0" w:firstLine="540"/>
        <w:jc w:val="left"/>
        <w:rPr/>
      </w:pPr>
      <w:r>
        <w:rPr>
          <w:rFonts w:ascii="Times New Roman;serif" w:hAnsi="Times New Roman;serif"/>
          <w:b w:val="false"/>
          <w:color w:val="000000"/>
          <w:sz w:val="20"/>
        </w:rPr>
        <w:t>The computation of basic and diluted EPS of the Company is presented below:</w:t>
      </w:r>
      <w:r>
        <w:rPr>
          <w:color w:val="000000"/>
        </w:rPr>
        <w:t> </w:t>
      </w:r>
    </w:p>
    <w:tbl>
      <w:tblPr>
        <w:tblW w:w="10205" w:type="dxa"/>
        <w:jc w:val="left"/>
        <w:tblInd w:w="0" w:type="dxa"/>
        <w:tblLayout w:type="fixed"/>
        <w:tblCellMar>
          <w:top w:w="28" w:type="dxa"/>
          <w:left w:w="28" w:type="dxa"/>
          <w:bottom w:w="28" w:type="dxa"/>
          <w:right w:w="28" w:type="dxa"/>
        </w:tblCellMar>
      </w:tblPr>
      <w:tblGrid>
        <w:gridCol w:w="1406"/>
        <w:gridCol w:w="845"/>
        <w:gridCol w:w="847"/>
        <w:gridCol w:w="306"/>
        <w:gridCol w:w="1046"/>
        <w:gridCol w:w="158"/>
        <w:gridCol w:w="109"/>
        <w:gridCol w:w="109"/>
        <w:gridCol w:w="109"/>
        <w:gridCol w:w="306"/>
        <w:gridCol w:w="1046"/>
        <w:gridCol w:w="158"/>
        <w:gridCol w:w="109"/>
        <w:gridCol w:w="109"/>
        <w:gridCol w:w="109"/>
        <w:gridCol w:w="281"/>
        <w:gridCol w:w="1102"/>
        <w:gridCol w:w="145"/>
        <w:gridCol w:w="109"/>
        <w:gridCol w:w="109"/>
        <w:gridCol w:w="109"/>
        <w:gridCol w:w="278"/>
        <w:gridCol w:w="1092"/>
        <w:gridCol w:w="208"/>
      </w:tblGrid>
      <w:tr>
        <w:trPr/>
        <w:tc>
          <w:tcPr>
            <w:tcW w:w="140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09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09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(In Thousands):</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Performance Units (See Note 9)</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132,479 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132,486 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EPS:</w:t>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3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2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09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EPU of the Operating Partnership is presented below:</w:t>
      </w:r>
    </w:p>
    <w:tbl>
      <w:tblPr>
        <w:tblW w:w="10205" w:type="dxa"/>
        <w:jc w:val="left"/>
        <w:tblInd w:w="0" w:type="dxa"/>
        <w:tblLayout w:type="fixed"/>
        <w:tblCellMar>
          <w:top w:w="28" w:type="dxa"/>
          <w:left w:w="28" w:type="dxa"/>
          <w:bottom w:w="28" w:type="dxa"/>
          <w:right w:w="28" w:type="dxa"/>
        </w:tblCellMar>
      </w:tblPr>
      <w:tblGrid>
        <w:gridCol w:w="978"/>
        <w:gridCol w:w="750"/>
        <w:gridCol w:w="752"/>
        <w:gridCol w:w="340"/>
        <w:gridCol w:w="1164"/>
        <w:gridCol w:w="175"/>
        <w:gridCol w:w="109"/>
        <w:gridCol w:w="109"/>
        <w:gridCol w:w="109"/>
        <w:gridCol w:w="340"/>
        <w:gridCol w:w="1164"/>
        <w:gridCol w:w="175"/>
        <w:gridCol w:w="109"/>
        <w:gridCol w:w="109"/>
        <w:gridCol w:w="109"/>
        <w:gridCol w:w="306"/>
        <w:gridCol w:w="1202"/>
        <w:gridCol w:w="158"/>
        <w:gridCol w:w="109"/>
        <w:gridCol w:w="109"/>
        <w:gridCol w:w="109"/>
        <w:gridCol w:w="303"/>
        <w:gridCol w:w="1188"/>
        <w:gridCol w:w="229"/>
      </w:tblGrid>
      <w:tr>
        <w:trPr/>
        <w:tc>
          <w:tcPr>
            <w:tcW w:w="97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(In Thousands):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 Basic</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Units and certain Performance RLP Units</w:t>
            </w:r>
          </w:p>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9)</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 Diluted</w:t>
            </w:r>
          </w:p>
        </w:tc>
        <w:tc>
          <w:tcPr>
            <w:tcW w:w="1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135,885 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136,000 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EPU:</w:t>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EPU:</w:t>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June 30, 2026 and 2025, participating securities for the Company included 69,636 and 83,358, respectively, of Service Awards (see Note 9), which participate in non-forfeitable distributions. At June 30, 2026 and 2025, participating securities for the Operating Partnership included 199,646 and 203,746, respectively, of Service Awards and certain Performance Awards (see Note 9), which participate in non-forfeitable distributions. Under the two-class method, participating security holders are allocated income, in proportion to total weighted average shares or Units outstanding, based upon the greater of net income or common stock dividends or Unit distributions declared.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9. Long-Term Compensation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Awards with Performance Measures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53,052 performance units ("Performance Units") and 322,263 RLP Units ("Performance RLP Units" and, together with the Performance Units, collectively the "Performance Awards") were granted to certain employees based on performance-based criteria, which had a fair value of approximately $12,484 on the grant date as determined by a lattice-binomial option-pricing model based on a Monte Carlo simulation. A portion of each Performance Award vests based upon the total shareholder return ("TSR") of the Company's common stock compared to the TSR of the FTSE Nareit All Equity Index and the remainder vests based upon the TSR of the Company’s common stock compared to a specified group of peer industrial real estate companies. The performance period for these Performance Awards is three years. Compensation expense is charged to earnings over the applicable vesting period for the Performance Awards. At the end of the measuring period, vested Performance Units convert into shares of common stock. The participant is also entitled to dividend equivalents for shares or RLP Units issued pursuant to vested Performance Awards. The Operating Partnership issues General Partner Units to the Company in the same amounts for vested Performance Units.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Service Based Awards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51,865 shares of restricted stock units ("Service Units") and 121,706 RLP Units ("Service RLP Units" and together with the Service Units, collectively the "Service Awards") were granted to certain employees and outside directors based on service-based criteria, which had an aggregate fair value of approximately $9,791 on the grant date. The fair value of the Service Awards is based on the Company's stock price on the date such awards were approved by the Compensation Committee of the Board of Directors. The Service Awards granted to employees were based on the prior achievement of certain corporate performance goals and generally vest ratably over a period of three years based on continued employment. Service Awards granted to outside directors vest after approximately one year. Compensation expense is charged to earnings over the applicable vesting periods for the Service Awards. At the end of the service period, vested Service Units convert into shares of common stock. The Operating Partnership issues restricted Unit awards to the Company in the same amount for the restricted stock units.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Retirement Eligibility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All award agreements issued underlying Performance Awards and Service Awards contain a retirement eligibility policy for employees with at least 10 years of continuous service and are at least 60 years old. For employees who meet both the age and service criteria, their awards become non-forfeitable. As such, during the six months ended June 30, 2026, we expensed 100% of the awards granted to retirement-eligible employees at the grant date, treating them as fully vested. For employees who satisfy retirement eligibility requirements during the normal vesting periods, the awards are amortized over the shorter service period.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Outstanding Performance Awards and Service Awards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recognized $2,611 and $2,343 for the three months ended June 30, 2026 and 2025, respectively, and $17,666 and $16,273 for the six months ended June 30, 2026 and 2025, respectively, in compensation expense related to the amortization of the Service Awards and the Performance Awards. Service Award and Performance Award amortization capitalized in connection with development activities was $443 and $447 for the three months ended June 30, 2026 and 2025, respectively, and $2,156 and $2,300 for the six months ended June 30, 2026 and 2025, respectively. At June 30, 2026, we had $12,286 in unrecognized compensation related to unvested Service Awards and Performance Awards. The weighted average period over which the unrecognized compensation is expected to be recognized is 0.90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Derivative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objectives in using derivatives are to add stability to interest expense and to manage our cash flow volatility and exposure to interest rate movements. To accomplish these objectives, we primarily use derivative instruments as part of our interest rate risk management strategy. Derivative instruments designated as cash flow hedges involve the receipt of variable-rate amounts from a counterparty in exchange for fixed-rate payments over the life of the agreements without exchange of the underlying notional amount.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swaps to manage our exposure to changes in SOFR related to our Unsecured Term Loans. All of our swaps have been designated as cash flow hedges.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had three interest rate swaps with an aggregate notional value of $200,000 that fixed the SOFR rate component at 0.88% and matured on February 2, 2026 (the "2021 Swaps"). In anticipation of the maturity, we entered into three interest rate swaps during 2025, with an aggregate notional value of $200,000, that commenced February 2, 2026, fix the SOFR rate component at 3.15% and mature on February 1, 2029 (the "2026 Swaps").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eight interest rate swaps with an aggregate notional value of $425,000 that fix the SOFR rate component at 2.69% and mature on September 30, 2027 (the "2022 Swaps").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seven interest rate swaps with an aggregate notional value of $300,000 that fix the SOFR rate component at 3.47%. $150,000 of the aggregate notional value matures on August 1, 2027 (the "2022 II Swaps") and the remaining $150,000 of the aggregate notional value matures on December 1, 2028 (the "2025 Swaps").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"Outstanding Swaps" are comprised of the 2026 Swaps, the 2022 Swaps, the 2022 II Swaps and the 2025 Swaps.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agreements with our derivative counterparties contain cross-default provisions, which may be triggered if we default on other indebtedness, subject to certain thresholds. As of June 30, 2026, we had not posted any collateral under these agreements and were in compliance with all contractual provisions of these agreements. In the event of a breach, we could be required to settle our obligations at the termination values within the agreements.</w:t>
      </w:r>
    </w:p>
    <w:p>
      <w:pPr>
        <w:pStyle w:val="TextBody"/>
        <w:bidi w:val="0"/>
        <w:spacing w:lineRule="auto" w:line="288" w:before="180" w:after="100"/>
        <w:ind w:left="0" w:right="0" w:firstLine="495"/>
        <w:jc w:val="both"/>
        <w:rPr/>
      </w:pPr>
      <w:r>
        <w:rPr>
          <w:rFonts w:ascii="Times New Roman;serif" w:hAnsi="Times New Roman;serif"/>
          <w:b w:val="false"/>
          <w:color w:val="000000"/>
          <w:sz w:val="20"/>
        </w:rPr>
        <w:t xml:space="preserve">The following table sets forth our financial assets and liabilities related to the Outstanding Swaps and the 2021 Swaps, which are included in the line items </w:t>
      </w:r>
      <w:r>
        <w:rPr>
          <w:rFonts w:ascii="Times New Roman;serif" w:hAnsi="Times New Roman;serif"/>
          <w:b w:val="false"/>
          <w:i/>
          <w:color w:val="000000"/>
          <w:sz w:val="20"/>
        </w:rPr>
        <w:t xml:space="preserve">Prepaid Expenses and Other Assets, Net </w:t>
      </w:r>
      <w:r>
        <w:rPr>
          <w:rFonts w:ascii="Times New Roman;serif" w:hAnsi="Times New Roman;serif"/>
          <w:b w:val="false"/>
          <w:color w:val="000000"/>
          <w:sz w:val="20"/>
        </w:rPr>
        <w:t>or</w:t>
      </w:r>
      <w:r>
        <w:rPr>
          <w:color w:val="000000"/>
        </w:rPr>
        <w:t xml:space="preserve"> </w:t>
      </w:r>
      <w:r>
        <w:rPr>
          <w:rFonts w:ascii="Times New Roman;serif" w:hAnsi="Times New Roman;serif"/>
          <w:b w:val="false"/>
          <w:i/>
          <w:color w:val="000000"/>
          <w:sz w:val="20"/>
        </w:rPr>
        <w:t xml:space="preserve">Accounts Payable, Accrued Expenses and Other Liabilities </w:t>
      </w:r>
      <w:r>
        <w:rPr>
          <w:rFonts w:ascii="Times New Roman;serif" w:hAnsi="Times New Roman;serif"/>
          <w:b w:val="false"/>
          <w:color w:val="000000"/>
          <w:sz w:val="20"/>
        </w:rPr>
        <w:t>on the Consolidated Balance Sheets and are accounted for at fair value on a recurring basis as of June 30, 2026 and December 31, 2025:</w:t>
      </w:r>
    </w:p>
    <w:tbl>
      <w:tblPr>
        <w:tblW w:w="10205" w:type="dxa"/>
        <w:jc w:val="left"/>
        <w:tblInd w:w="0" w:type="dxa"/>
        <w:tblLayout w:type="fixed"/>
        <w:tblCellMar>
          <w:top w:w="28" w:type="dxa"/>
          <w:left w:w="28" w:type="dxa"/>
          <w:bottom w:w="28" w:type="dxa"/>
          <w:right w:w="28" w:type="dxa"/>
        </w:tblCellMar>
      </w:tblPr>
      <w:tblGrid>
        <w:gridCol w:w="1106"/>
        <w:gridCol w:w="975"/>
        <w:gridCol w:w="987"/>
        <w:gridCol w:w="109"/>
        <w:gridCol w:w="109"/>
        <w:gridCol w:w="109"/>
        <w:gridCol w:w="420"/>
        <w:gridCol w:w="1358"/>
        <w:gridCol w:w="216"/>
        <w:gridCol w:w="109"/>
        <w:gridCol w:w="109"/>
        <w:gridCol w:w="109"/>
        <w:gridCol w:w="474"/>
        <w:gridCol w:w="474"/>
        <w:gridCol w:w="475"/>
        <w:gridCol w:w="109"/>
        <w:gridCol w:w="109"/>
        <w:gridCol w:w="109"/>
        <w:gridCol w:w="268"/>
        <w:gridCol w:w="859"/>
        <w:gridCol w:w="138"/>
        <w:gridCol w:w="109"/>
        <w:gridCol w:w="109"/>
        <w:gridCol w:w="109"/>
        <w:gridCol w:w="334"/>
        <w:gridCol w:w="334"/>
        <w:gridCol w:w="479"/>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Fair Value at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Inputs</w:t>
              <w:br/>
              <w:t>(Level 3)</w:t>
            </w:r>
          </w:p>
        </w:tc>
      </w:tr>
      <w:tr>
        <w:trPr/>
        <w:tc>
          <w:tcPr>
            <w:tcW w:w="30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Derivatives designated as a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II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Derivatives designated as a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II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ineffectiveness recorded on any of the Outstanding Swaps during the six months ended June 30, 2026. See Note 7 for more information regarding our derivatives. The estimated fair value of each of the Outstanding Swaps and the 2021 Swaps was determined using the market standard methodology of netting the discounted fixed cash payments and the discounted expected variable cash receipts. The variable cash receipts are based on an expectation of interest rates (forward curves) derived from observable market interest rate curves. In addition, credit valuation adjustments are incorporated in the fair value to account for potential non-performance risk, including our own non-performance risk and the respective counterparty's non-performance risk. We determined that the significant inputs used to value the Outstanding Swaps and the 2021 Swaps fell within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Operating Partnership had receivable balances of $9,122 and $9,156, respectively, from a direct wholly-owned subsidiary of the Company. Additionally, see Note 5 for transactions with our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are involved in legal actions arising from the ownership and operation of our industrial properties. In our opinion, any liabilities that may result from such legal actions are not expected to have a materially adverse effect on our consolidated financial position, results of operations or liquidity.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conjunction with the development of industrial properties, we have entered into construction agreements with general contractors for the development of industrial properties. At June 30, 2026, we had three projects under construction, totaling approximately 0.9 million square feet of GLA. The estimated total investment for these projects as of June 30, 2026 is approximately $146,400, of which approximately $81,300 remains to be funded. There can be no assurance that actual completion costs will not exceed the estimated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 Consolidated Financial Statements were issued, noting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8264" w:type="dxa"/>
        <w:jc w:val="left"/>
        <w:tblInd w:w="0" w:type="dxa"/>
        <w:tblLayout w:type="fixed"/>
        <w:tblCellMar>
          <w:top w:w="28" w:type="dxa"/>
          <w:left w:w="28" w:type="dxa"/>
          <w:bottom w:w="28" w:type="dxa"/>
          <w:right w:w="28" w:type="dxa"/>
        </w:tblCellMar>
      </w:tblPr>
      <w:tblGrid>
        <w:gridCol w:w="255"/>
        <w:gridCol w:w="224"/>
        <w:gridCol w:w="226"/>
        <w:gridCol w:w="2211"/>
        <w:gridCol w:w="2211"/>
        <w:gridCol w:w="313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Management's Discussion and Analysis of Financial Condition and Results of Operations</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the Consolidated Financial Statements and notes thereto appearing elsewhere in this Form 10-Q. Unless stated otherwise or the context otherwise requires, the terms "we," "our" and "us" refer to First Industrial Realty Trust, Inc. (the "Company") and its subsidiaries, including First Industrial, L.P. (the "Operating Partnership") and its consolidated subsidiaries.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may contain forward-looking statements within the meaning of Section 27A of the Securities Act of 1933, and Section 21E of the Securities Exchange Act of 1934 (the "Exchange Act"). We intend for such forward-looking statements to be covered by the safe harbor provisions for forward-looking statements contained in the Private Securities Litigation Reform Act of 1995. Forward-looking statements are based on certain assumptions and describe our future plans, strategies and expectations, and are generally identifiable by use of the words "believe," "expect," "plan," "intend," "anticipate," "estimate," "project," "seek," "target," "potential," "focus," "may," "will," "should" or similar words. Although we believe the expectations reflected in forward-looking statements are based upon reasonable assumptions, we can give no assurance that our expectations will be attained or that results will not materially differ.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Factors that could have a materially adverse effect on our operations and future prospects include, but are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national, international, regional and local economic conditions generally, and real estate markets specifically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including impacts and uncertainties arising from trade disputes and tariffs on goods imported to or exported from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legislation/regulation (including laws governing the taxation of real estate investment trusts) and actions of regulatory authorities;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qualify and maintain our status as a real estate investment trust;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cost and attractiveness of financing (including both public and private capital), increases in or prolonged periods of elevated interest rates, and our ability to raise equity capital on attractive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attractiveness of terms of debt repurchases;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retain our credit agency ratings;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applicable financial covenants;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competitive environment in which we operate, including changes in supply, demand and valuation of industrial properties and land in our current and potential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identify, acquire, develop and/or manage properties on favorable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dispose of properties on favorable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integrate acquired properties;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liability relating to environmental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defaults on or non-renewal of leases by our tenants;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decreases in rental rates or increases in vacancy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higher-than-expected real estate construction costs and delays in development or lease-up timelines;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uncertainty and economic impacts of pandemics, epidemics or other public health emergencies or fear of such events;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cybersecurity breaches, cyberattacks, intrusions or other significant disruptions of our information technology networks or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natural disasters and other catastrophic events, including acts of war or terrorism;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insufficient or unavailable insurance coverage;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technological developments, particularly those affecting supply chains and logistics;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risks, including costs associated with prosecuting or defending claims and potential adverse outcomes;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our investments in joint ventures, including our lack of sole decision-making authority;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risks and uncertainties described in Item 1A, "Risk Factors" and elsewhere in our annual report on Form 10-K for the year ended December 31, 2025 as well as those risks and uncertainties discussed from time to time in our other Exchange Act reports and in our other public filings with the Securities and Exchange Commission (the "SEC").</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you not to place undue reliance on forward-looking statements, which reflect our outlook only and speak only as of the date of this report. We assume no obligation to update or supplement forward-looking statements except as may be required by law. </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The Company is a self-administered and fully integrated real estate company which owns, manages, acquires, sells, develops and redevelops industrial real estate. The Company is a Maryland corporation organized on August 10, 1993 and a real estate investment trust ("REIT") as defined in the Internal Revenue Code of 1986 (the "Code"). As of June 30, 2026, we owned 419 industrial properties located in 19 states, containing an aggregate of approximately 71.2 million square feet of gross leasable area ("GLA").</w:t>
      </w:r>
      <w:r>
        <w:rPr>
          <w:color w:val="000000"/>
        </w:rPr>
        <w:t xml:space="preserve"> </w:t>
      </w:r>
      <w:r>
        <w:rPr>
          <w:rFonts w:ascii="Times New Roman;serif" w:hAnsi="Times New Roman;serif"/>
          <w:b w:val="false"/>
          <w:color w:val="000000"/>
          <w:sz w:val="20"/>
        </w:rPr>
        <w:t>Of the 419 properties owned on a consolidated basis, none of them are directly owned by the Company.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began operations on July 1, 1994. The Company's operations are conducted primarily through the Operating Partnership, of which the Company is the sole general partner (the "General Partner"), with an approximate 96.7% ownership interest ("General Partner Units") at June 30, 2026. The Operating Partnership also conducts operations through several other limited partnerships (the "Other Real Estate Partnerships"), numerous limited liability companies ("LLCs") and certain taxable REIT subsidiaries ("TRSs"), the operating data of which, together with that of the Operating Partnership, is consolidated with that of the Company as presented herein. The Operating Partnership holds at least a 99% limited partnership interest in each of the Other Real Estate Partnerships. The general partners of the Other Real Estate Partnerships are separate corporations, wholly-owned by the Company, each with at least a .01% general partnership interest in the Other Real Estate Partnerships. The Company does not have any significant assets or liabilities other than its investment in the Operating Partnership and its 100% ownership interest in the general partners of the Other Real Estate Partnerships. The noncontrolling interest in the Operating Partnership of approximately 3.3% at June 30, 2026 represents the aggregate partnership interest held by the limited partners thereof ("Limited Partner Units" and together with the General Partner Units, the "Units").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a wholly-owned TRS of the Operating Partnership, we own an equity interest in a joint venture (the "Joint Venture"). We also provide various services to the Joint Venture. The Joint Venture is accounted for under the equity method of accounting. The operating data of the Joint Venture is not consolidated with that of the Operating Partnership or the Company as presented herein. During the year ended December 31, 2025, the Joint Venture sold its remaining real estate assets.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any amendments to these reports are available without charge on our website at www.firstindustrial.com. These reports can also be accessed through the SEC's website at www.sec.gov. In addition, our Corporate Governance Guidelines, Code of Business Conduct and Ethics, charters of each committee of the Board of Directors, and supplemental financial and operating information are all available without charge on our website or upon request. Amendments to, or waivers from, our Code of Business Conduct and Ethics that apply to our executive officers or directors will also be posted on our website. The information found on, or otherwise accessible through our website, is not incorporated into, and does not form a part of, this report or any other report or document we file with or furnish to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Overview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Objectives and Growth Plans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fundamental business objective is to maximize the total return to the Company's stockholders and the Operating Partnership's partners by increasing our cash flow and property values. Our long-term business growth plans include the following elements: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Internal Growth.</w:t>
      </w:r>
      <w:r>
        <w:rPr>
          <w:color w:val="000000"/>
        </w:rPr>
        <w:t> </w:t>
      </w:r>
      <w:r>
        <w:rPr>
          <w:rFonts w:ascii="Times New Roman;serif" w:hAnsi="Times New Roman;serif"/>
          <w:b w:val="false"/>
          <w:color w:val="000000"/>
          <w:sz w:val="20"/>
        </w:rPr>
        <w:t>We seek to grow internally by: (i) increasing revenues by renewing or re-leasing expiring leases at higher rental levels; (ii) obtaining contractual rent escalations on our long-term leases; (iii) increasing occupancy at properties with existing vacancies while maintaining high occupancy across the remainder of the portfolio; (iv) controlling and minimizing property operating expenses, general and administrative expenses and re-leasing costs; and (v) selectively renovating existing properties.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External Growth.</w:t>
      </w:r>
      <w:r>
        <w:rPr>
          <w:color w:val="000000"/>
        </w:rPr>
        <w:t> </w:t>
      </w:r>
      <w:r>
        <w:rPr>
          <w:rFonts w:ascii="Times New Roman;serif" w:hAnsi="Times New Roman;serif"/>
          <w:b w:val="false"/>
          <w:color w:val="000000"/>
          <w:sz w:val="20"/>
        </w:rPr>
        <w:t>We seek to grow externally through: (i) the development of best-in-class industrial properties and the acquisition of individual assets, portfolios of industrial properties and leased land sites that meet our investment parameters within our 15 key logistics markets; and (ii) the expansion and redevelopment of our existing properties.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Portfolio Enhancement.</w:t>
      </w:r>
      <w:r>
        <w:rPr>
          <w:color w:val="000000"/>
        </w:rPr>
        <w:t xml:space="preserve"> </w:t>
      </w:r>
      <w:r>
        <w:rPr>
          <w:rFonts w:ascii="Times New Roman;serif" w:hAnsi="Times New Roman;serif"/>
          <w:b w:val="false"/>
          <w:color w:val="000000"/>
          <w:sz w:val="20"/>
        </w:rPr>
        <w:t>We continually seek to upgrade our overall portfolio by making new investments and selling assets that lack strong long-term cash flow growth potential. Our investment focus is on 15 key logistics markets which exhibit desirable long-term growth characteristics and where developable land is relatively scarce.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pursue our long-term growth plans is affected by market conditions and our financial condition and operating capabilities. </w:t>
      </w:r>
    </w:p>
    <w:p>
      <w:pPr>
        <w:pStyle w:val="TextBody"/>
        <w:bidi w:val="0"/>
        <w:spacing w:lineRule="auto" w:line="288" w:before="180" w:after="283"/>
        <w:ind w:left="0" w:right="0" w:firstLine="495"/>
        <w:jc w:val="both"/>
        <w:rPr>
          <w:rFonts w:ascii="Times New Roman;serif" w:hAnsi="Times New Roman;serif"/>
          <w:b/>
          <w:color w:val="000000"/>
          <w:sz w:val="20"/>
        </w:rPr>
      </w:pPr>
      <w:r>
        <w:rPr>
          <w:rFonts w:ascii="Times New Roman;serif" w:hAnsi="Times New Roman;serif"/>
          <w:b/>
          <w:color w:val="000000"/>
          <w:sz w:val="20"/>
        </w:rPr>
        <w:t>Business Strategies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utilize the following strategies in connection with the operation of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Organizational Strategy.</w:t>
      </w:r>
      <w:r>
        <w:rPr>
          <w:color w:val="000000"/>
        </w:rPr>
        <w:t> </w:t>
      </w:r>
      <w:r>
        <w:rPr>
          <w:rFonts w:ascii="Times New Roman;serif" w:hAnsi="Times New Roman;serif"/>
          <w:b w:val="false"/>
          <w:color w:val="000000"/>
          <w:sz w:val="20"/>
        </w:rPr>
        <w:t>We employ a decentralized property operations strategy through the deployment of experienced regional management teams and local property managers. Our headquarters in Chicago, Illinois provides acquisition, development and financing assistance, asset management oversight and financial reporting functions to our regional operations. We believe the size of our portfolio enables us to realize operating efficiencies by spreading overhead costs among many properties and by negotiating favorable terms and purchasing discounts.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Market Strategy.</w:t>
      </w:r>
      <w:r>
        <w:rPr>
          <w:color w:val="000000"/>
        </w:rPr>
        <w:t> </w:t>
      </w:r>
      <w:r>
        <w:rPr>
          <w:rFonts w:ascii="Times New Roman;serif" w:hAnsi="Times New Roman;serif"/>
          <w:b w:val="false"/>
          <w:color w:val="000000"/>
          <w:sz w:val="20"/>
        </w:rPr>
        <w:t>Our market strategy focuses on 15 key logistics markets in the United States. These markets exhibit one or more of the following characteristics: (i) favorable industrial real estate fundamentals, including improving industrial demand and constrained future supply that can lead to long-term rent growth; (ii) favorable and diversified economic and business environments that should benefit from increases in distribution activity driven by growth in global trade and local consumption; (iii) population growth, which generally drives industrial demand; (iv) natural barriers to entry and scarcity of land which are key elements in delivering future rent growth; (v) sufficient market size to provide ample opportunity for growth through incremental investments and support asset liquidity; and (vi) favorable governmental, regulatory and tax environment.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Leasing and Marketing Strategy.</w:t>
      </w:r>
      <w:r>
        <w:rPr>
          <w:color w:val="000000"/>
        </w:rPr>
        <w:t> </w:t>
      </w:r>
      <w:r>
        <w:rPr>
          <w:rFonts w:ascii="Times New Roman;serif" w:hAnsi="Times New Roman;serif"/>
          <w:b w:val="false"/>
          <w:color w:val="000000"/>
          <w:sz w:val="20"/>
        </w:rPr>
        <w:t>We utilize an operational management strategy designed to enhance tenant satisfaction and portfolio performance. We pursue an active leasing strategy that includes broadly marketing available space, seeking to renew existing leases at higher rents while minimizing re-leasing costs and seeking leases which provide for the pass-through of property-related expenses to the tenant. Additionally, we have both local and national marketing programs that target the business and real estate brokerage communities, as well as multi-national tenants.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Acquisition/Development Strategy.</w:t>
      </w:r>
      <w:r>
        <w:rPr>
          <w:color w:val="000000"/>
        </w:rPr>
        <w:t> </w:t>
      </w:r>
      <w:r>
        <w:rPr>
          <w:rFonts w:ascii="Times New Roman;serif" w:hAnsi="Times New Roman;serif"/>
          <w:b w:val="false"/>
          <w:color w:val="000000"/>
          <w:sz w:val="20"/>
        </w:rPr>
        <w:t xml:space="preserve">Our investment strategy is primarily focused on developing and acquiring industrial properties in 15 key logistics markets in the United States through the deployment of experienced regional management teams. When evaluating potential industrial property acquisitions and developments, we consider such factors as: (i) the geographic area and type of property; (ii) the location, construction quality, functionality, condition and design of the property; (iii) the terms and credit quality of tenant leases, including the potential for rent rate growth; (iv) the potential for economic growth and the general business, tax and regulatory environment of the surrounding area; (v) the occupancy and demand by tenants for properties of a similar type in the vicinity; (vi) competition from existing properties and the potential for the construction of new properties in the area; (vii) the potential for capital appreciation of the property; (viii) the ability to improve the property's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performance through renovation; and (ix) the potential for physical expansion of the property and/or additional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Disposition Strategy.</w:t>
      </w:r>
      <w:r>
        <w:rPr>
          <w:color w:val="000000"/>
        </w:rPr>
        <w:t> </w:t>
      </w:r>
      <w:r>
        <w:rPr>
          <w:rFonts w:ascii="Times New Roman;serif" w:hAnsi="Times New Roman;serif"/>
          <w:b w:val="false"/>
          <w:color w:val="000000"/>
          <w:sz w:val="20"/>
        </w:rPr>
        <w:t xml:space="preserve">We continually evaluate local market conditions and property-related factors across all of our markets to identify assets suitable for disposition. Our focus is on selling properties with lower rent growth potential or that lack optimal functionality. The capital from these sales is generally reinvested in new assets consistent with our investment strategy or otherwise used in a manner consistent with our business strategy.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Financing Strategy.</w:t>
      </w:r>
      <w:r>
        <w:rPr>
          <w:color w:val="000000"/>
        </w:rPr>
        <w:t> </w:t>
      </w:r>
      <w:r>
        <w:rPr>
          <w:rFonts w:ascii="Times New Roman;serif" w:hAnsi="Times New Roman;serif"/>
          <w:b w:val="false"/>
          <w:color w:val="000000"/>
          <w:sz w:val="20"/>
        </w:rPr>
        <w:t xml:space="preserve">To finance acquisitions, developments and debt maturities, as market conditions permit, we may utilize proceeds from property sales, unsecured debt offerings, unsecured term loans, mortgage financings and borrowings under our $850.0 million unsecured revolving credit agreement (the "Unsecured Credit Facility"), and proceeds from the issuance, when and as warranted, of additional equity securities. We also periodically evaluate joint venture arrangements as another source of capital to finance acquisitions and developments as well as manage investment exposure and allocation.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Summary of the Six Months Ended June 30, 2026</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operating results were strong for the six months ended June 30, 2026, highlighted by a robust 35.1% average increase in cash rental rates on new and renewal commenced leases, same store cash net operating income growth of 7.7% and quarter-end in-service occupancy of 94.9%, demonstrating healthy demand.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three development projects underway, totaling 0.9 million square feet of GLA, with an aggregate estimated investment of approximately $146.4 million.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completed the following significant real estate transactions: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acquired one industrial building totaling approximately 0.2 million square feet of GLA in our Dallas market for a purchase price of $25.6 million, excluding transaction costs.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acquired 58 gross acres of developable land in our Baltimore market for a purchase price of $38.6 million, excluding transaction costs.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commenced development of one industrial building totaling 0.6 million square feet of GLA in our Philadelphia market.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substantially completed development of four industrial buildings totaling 0.8 million square feet of GLA in our Dallas and Philadelphia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sold four industrial buildings totaling approximately 0.3 million square feet of GLA in our Detroit market and 100 acres of land in Phoenix for aggregate gross proceeds of $160.5 million.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leased over 5.0 million square feet of GLA, including 0.7 million square feet of newly developed space and fully leased a previously vacant 0.7 million square foot building.</w:t>
      </w:r>
    </w:p>
    <w:p>
      <w:pPr>
        <w:pStyle w:val="TextBody"/>
        <w:bidi w:val="0"/>
        <w:spacing w:lineRule="auto" w:line="288" w:before="18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key financing activities included: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declared first and second quarter cash dividends of $0.50 per common share or Unit, an increase of 12.4% over the 2025 quarterly dividend rate.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January, we refinanced our $425.0 million and $300.0 million unsecured term loans, extending their maturities to January 2030 (with an additional one-year extension option) and January 2029 (with two one-year extension options), respectively. We also increased the principal balance on our $300.0 million term loan by $75.0 million, bringing it to $375.0 million. In connection with these refinancings, we amended our existing $200.0 million unsecured term loan and eliminated the 10 basis point Secured Overnight Financing Rate ("SOFR") adjustment across all unsecured term loans.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established a new share repurchase program under which the Company may repurchase up to $250 million of common stock.</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 of June 30, 2026, we had $724.9 million of available borrowing capacity under our Unsecured Credit Facility and held $114.2 million in cash and cash equivalents and restricted cash, excluding our Joint Venture partner's 6% effective interest, which is consolidated in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summarize our revenues, property expenses and depreciation and other amortization by category for the three and six months ended June 30, 2026 and 2025.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Same Store Properties: </w:t>
      </w:r>
      <w:r>
        <w:rPr>
          <w:rFonts w:ascii="Times New Roman;serif" w:hAnsi="Times New Roman;serif"/>
          <w:b w:val="false"/>
          <w:color w:val="000000"/>
          <w:sz w:val="20"/>
        </w:rPr>
        <w:t>Same store properties include those that were owned and in service prior to January 1, 2025 and remained in service through June 30, 2026. Same store properties also includes developments and redevelopments placed in service prior to January 1, 2025. A property is considered placed in service when it meets one of the following criteria: (i) acquired properties with occupancy of at least 75% at acquisition, unless we anticipate tenant move-outs within two years of ownership would reduce occupancy below 75%; (ii) acquired properties with occupancy less than 75% at acquisition are placed in service upon reaching the earlier of 90% occupancy or one year subsequent to acquisition; (iii) developments, redevelopments and acquired income-producing land parcels for which our ultimate intent is to redevelop or develop on the land parcel are placed in service upon the earlier of reaching 90% occupancy or one year after construction completion; and (iv) properties acquired with occupancy greater than 75% but with anticipated move out within two years of ownership, are placed in service upon the earlier of reaching 90% occupancy or twelve months after tenant move out. Properties are moved from the same store category to the redevelopment classification when projected capital expenditures are estimated to exceed 20% of the property's undepreciated gross book value.</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Acquired Properties: </w:t>
      </w:r>
      <w:r>
        <w:rPr>
          <w:rFonts w:ascii="Times New Roman;serif" w:hAnsi="Times New Roman;serif"/>
          <w:b w:val="false"/>
          <w:color w:val="000000"/>
          <w:sz w:val="20"/>
        </w:rPr>
        <w:t xml:space="preserve">Acquired properties are properties that were purchased subsequent to December 31, 2024 and held as an operating property through June 30, 2026.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Sold Properties: </w:t>
      </w:r>
      <w:r>
        <w:rPr>
          <w:rFonts w:ascii="Times New Roman;serif" w:hAnsi="Times New Roman;serif"/>
          <w:b w:val="false"/>
          <w:color w:val="000000"/>
          <w:sz w:val="20"/>
        </w:rPr>
        <w:t>Sold properties are properties that were disposed of subsequent to December 31, 2024.</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Developments and Redevelopments: </w:t>
      </w:r>
      <w:r>
        <w:rPr>
          <w:rFonts w:ascii="Times New Roman;serif" w:hAnsi="Times New Roman;serif"/>
          <w:b w:val="false"/>
          <w:color w:val="000000"/>
          <w:sz w:val="20"/>
        </w:rPr>
        <w:t>Developments and redevelopments (collectively referred to as "(Re)Developments") include properties that were either: (i) not substantially complete 12 months prior to January 1, 2025; or (ii) not stabilized prior to January 1, 2025.</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Other Revenues and Property Expenses: </w:t>
      </w:r>
      <w:r>
        <w:rPr>
          <w:rFonts w:ascii="Times New Roman;serif" w:hAnsi="Times New Roman;serif"/>
          <w:b w:val="false"/>
          <w:color w:val="000000"/>
          <w:sz w:val="20"/>
        </w:rPr>
        <w:t>Other revenues are derived from the operations of properties not placed in service under one of the categories discussed above, the operations of our maintenance company, interest income, joint venture fees and other miscellaneous revenues. Other property expenses are derived from the operations of properties not placed in service under one of the categories discussed above, the operations of our maintenance company, vacant land expenses and other miscellaneous regional expenses.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one industrial property, totaling approximately 0.1 million square feet of GLA, was taken out of service with the intent for future redevelopment. As a result of taking this industrial property out of service, the results of operations associated with this property were reclassified from the same store property classification to the other classification.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future financial condition and results of operations, including rental revenues, may be impacted by the future acquisition, (re)development and sale of properties. Our future revenues and expenses may vary materially from historical rates.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Comparison of Six Months Ended June 30, 2026 to Six Months Ended June 30, 2025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net income was $227.6 million and $109.8 million for the six months ended June 30, 2026 and 2025, respectively.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average daily occupancy rate of our same store properties was 94.3% and 95.2%, respectively.</w:t>
      </w:r>
    </w:p>
    <w:tbl>
      <w:tblPr>
        <w:tblW w:w="7499" w:type="dxa"/>
        <w:jc w:val="left"/>
        <w:tblInd w:w="0" w:type="dxa"/>
        <w:tblLayout w:type="fixed"/>
        <w:tblCellMar>
          <w:top w:w="28" w:type="dxa"/>
          <w:left w:w="28" w:type="dxa"/>
          <w:bottom w:w="28" w:type="dxa"/>
          <w:right w:w="28" w:type="dxa"/>
        </w:tblCellMar>
      </w:tblPr>
      <w:tblGrid>
        <w:gridCol w:w="679"/>
        <w:gridCol w:w="597"/>
        <w:gridCol w:w="59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83"/>
        <w:gridCol w:w="383"/>
        <w:gridCol w:w="54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from same store properties increased $18.3 million primarily due to increases in rental rates and tenant recoveries, partially offset by a slight decrease in occupancy. Revenues from acquired properties increased $8.2 million due to the five industrial properties acquired subsequent to December 31, 2024 totaling approximately 2.0 million square feet of GLA. Revenues from sold properties decreased $1.5 million due to the 11 industrial properties sold subsequent to December 31, 2024 totaling approximately 0.6 million square feet of GLA. Revenues from (re)developments increased $9.4 million primarily due to an increase in occupancy. Revenues from other decreased by $1.9 million primarily due to legal settlement proceeds received during the six months ended June 30, 2025, as well as lower joint venture income, partially offset by an increase in revenues from income-producing land parcels.</w:t>
      </w:r>
    </w:p>
    <w:tbl>
      <w:tblPr>
        <w:tblW w:w="7498" w:type="dxa"/>
        <w:jc w:val="left"/>
        <w:tblInd w:w="0" w:type="dxa"/>
        <w:tblLayout w:type="fixed"/>
        <w:tblCellMar>
          <w:top w:w="28" w:type="dxa"/>
          <w:left w:w="28" w:type="dxa"/>
          <w:bottom w:w="28" w:type="dxa"/>
          <w:right w:w="28" w:type="dxa"/>
        </w:tblCellMar>
      </w:tblPr>
      <w:tblGrid>
        <w:gridCol w:w="810"/>
        <w:gridCol w:w="710"/>
        <w:gridCol w:w="714"/>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308"/>
        <w:gridCol w:w="308"/>
        <w:gridCol w:w="54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expenses include real estate taxes, repairs and maintenance, property management, utilities, insurance and other property related expenses. Property expenses from same store properties increased $5.4 million due to increases in real estate taxes, repairs and maintenance, partially offset by a decrease in insurance expense. Property expenses from acquired properties increased $1.6 million due to properties acquired subsequent to December 31, 2024. Property expenses from sold properties decreased $0.3 million due to properties sold subsequent to December 31, 2024. Property expenses from (re)developments increased $2.1 million primarily due to the substantial completion of developments. Property expenses from other decreased $1.0 million due to a decrease in real estate taxes on certain income-producing land parcels as well as certain miscellaneous expenses.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by $7.5 million, or 30.8%, primarily due to $5.6 million of costs related to financial advisors, legal counsel and other consultants in connection with a contested proxy campaign initiated by the principal of Land &amp; Buildings Investment Management, LLC, who nominated himself for election at the Company's annual meeting (with notice provided in November 2025) before subsequently withdrawing his nomination in March 2026. These expenses were incurred during the six months ended June 30, 2026.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Joint Venture development services expense, representing payments made to a third party for property development assistance within the Joint Venture for both six-month periods was not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9869" w:type="dxa"/>
        <w:jc w:val="left"/>
        <w:tblInd w:w="0" w:type="dxa"/>
        <w:tblLayout w:type="fixed"/>
        <w:tblCellMar>
          <w:top w:w="28" w:type="dxa"/>
          <w:left w:w="28" w:type="dxa"/>
          <w:bottom w:w="28" w:type="dxa"/>
          <w:right w:w="28" w:type="dxa"/>
        </w:tblCellMar>
      </w:tblPr>
      <w:tblGrid>
        <w:gridCol w:w="1667"/>
        <w:gridCol w:w="1466"/>
        <w:gridCol w:w="1472"/>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307"/>
        <w:gridCol w:w="309"/>
        <w:gridCol w:w="54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OTHER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Furniture, Fixtures and Equipment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Other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other amortization from same store properties remained relatively unchanged. Depreciation and other amortization from acquired properties increased $7.2 million due to properties acquired subsequent to December 31, 2024. Depreciation and other amortization from sold properties decreased $0.3 million due to properties sold subsequent to December 31, 2024. Depreciation and other amortization from (re)developments increased $3.3 million primarily due to an increase in depreciation and amortization related to completed developments. Depreciation from corporate furniture, fixtures and equipment and other remained relatively unchanged.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recognized $125.6 million of gain on sale of real estate related to the sale of four industrial properties totaling approximately 0.3 million square feet of GLA and a land site. For the six months ended June 30, 2025, we recognized $8.0 million of gain on sale of real estate related to the sale of three industrial properties totaling approximately 0.1 million square feet of GLA.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by $7.1 million, or 17.2%, primarily due to a higher weighted average debt balance of $2,599.3 million for the six months ended June 30, 2026 as compared to $2,334.8 million for the six months ended June 30, 2025 as well as an increase in the weighted average interest rate to 4.22% for the six months ended June 30, 2026 as compared to 4.07% for the six months ended June 30, 2025 offset by an increase in capitalized interest of $0.2 million during the six months ended June 30, 2026 as compared to the six months ended June 30, 2025.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debt issuance costs increased by $0.8 million, or 35.4%, primarily due to financing costs incurred related to the amendment and restatement of the Unsecured Credit Facility in March 2025, the amendment and restatement of our $425.0 million term loan in January 2026 and the issuance of $450.0 million of senior notes in May 2025. </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Equity in income (loss) of joint venture decreased by $3.2 million, or 94.4%, primarily due to a decrease in gain on sale and incentive fees associated with the Joint Venture's sale of two properties during the six months ended June 30, 2025. As we were the purchaser of the properties, our economic share of the gain and incentive fees was offset against the basis of the real estate acquired. The remaining portion of the gain on sale and incentive fees reflects our partner’s share, which is consolidated in our financial statements. Additionally, the decrease also reflects a reduction in our pro-rata share of operating income, as the Joint Venture disposed of its final real estate assets during the year ended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benefit (provision) decreased $3.1 million, or 52.6%, primarily driven by a decrease in our pro-rata share of gain and incentive fees recognized from the sale of real estate by the Joint Venture during the six months ended June 30, 2026 as compared to the six months ended June 30, 2025. Our equity interest in the Joint Venture is held through a wholly-owned TRS.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Comparison of Three Months Ended June 30, 2026 to Three Months Ended June 30, 2025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net income was $79.7 million and $56.9 million for the three months ended June 30, 2026 and 2025, respectively.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average daily occupancy rate of our same store properties was 94.2% and 94.8%, respectively.</w:t>
      </w:r>
    </w:p>
    <w:tbl>
      <w:tblPr>
        <w:tblW w:w="7499" w:type="dxa"/>
        <w:jc w:val="left"/>
        <w:tblInd w:w="0" w:type="dxa"/>
        <w:tblLayout w:type="fixed"/>
        <w:tblCellMar>
          <w:top w:w="28" w:type="dxa"/>
          <w:left w:w="28" w:type="dxa"/>
          <w:bottom w:w="28" w:type="dxa"/>
          <w:right w:w="28" w:type="dxa"/>
        </w:tblCellMar>
      </w:tblPr>
      <w:tblGrid>
        <w:gridCol w:w="679"/>
        <w:gridCol w:w="597"/>
        <w:gridCol w:w="59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83"/>
        <w:gridCol w:w="383"/>
        <w:gridCol w:w="54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from same store properties increased $8.4 million primarily due to increases in rental rates and tenant recoveries, partially offset by a slight decrease in occupancy. Revenues from acquired properties increased $3.1 million due to the five industrial properties acquired subsequent to December 31, 2024 totaling approximately 2.0 million square feet of GLA. Revenues from sold properties decreased $0.8 million due to the 11 industrial properties sold subsequent to December 31, 2024 totaling approximately 0.6 million square feet of GLA. Revenues from (re)developments increased $5.3 million primarily due to an increase in occupancy. Revenues from other decreased by $1.2 million, primarily due to legal settlement proceeds received during the three months ended June 30, 2025, partially offset by an increase in revenues from income-producing land parcels.</w:t>
      </w:r>
    </w:p>
    <w:tbl>
      <w:tblPr>
        <w:tblW w:w="7393" w:type="dxa"/>
        <w:jc w:val="left"/>
        <w:tblInd w:w="0" w:type="dxa"/>
        <w:tblLayout w:type="fixed"/>
        <w:tblCellMar>
          <w:top w:w="28" w:type="dxa"/>
          <w:left w:w="28" w:type="dxa"/>
          <w:bottom w:w="28" w:type="dxa"/>
          <w:right w:w="28" w:type="dxa"/>
        </w:tblCellMar>
      </w:tblPr>
      <w:tblGrid>
        <w:gridCol w:w="810"/>
        <w:gridCol w:w="710"/>
        <w:gridCol w:w="71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08"/>
        <w:gridCol w:w="308"/>
        <w:gridCol w:w="54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expenses include real estate taxes, repairs and maintenance, property management, utilities, insurance and other property related expenses. Property expenses from same store properties increased $1.6 million primarily due to an increase in real estate tax expense. Property expenses from acquired properties increased $0.7 million due to properties acquired subsequent to December 31, 2024. Property expenses from sold properties decreased $0.1 million due to properties sold subsequent to December 31, 2024. Property expenses from (re)developments increased $0.9 million primarily due to the completion of developments. Property expenses from other was not significant for either three-month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remained relatively unchanged.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Joint Venture development services expense, representing payments made to a third party for property development assistance within the Joint Venture, for both three-month periods was not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9764" w:type="dxa"/>
        <w:jc w:val="left"/>
        <w:tblInd w:w="0" w:type="dxa"/>
        <w:tblLayout w:type="fixed"/>
        <w:tblCellMar>
          <w:top w:w="28" w:type="dxa"/>
          <w:left w:w="28" w:type="dxa"/>
          <w:bottom w:w="28" w:type="dxa"/>
          <w:right w:w="28" w:type="dxa"/>
        </w:tblCellMar>
      </w:tblPr>
      <w:tblGrid>
        <w:gridCol w:w="1667"/>
        <w:gridCol w:w="1466"/>
        <w:gridCol w:w="147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07"/>
        <w:gridCol w:w="309"/>
        <w:gridCol w:w="54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OTHER AMORTIZATION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Furniture, Fixtures and Equipment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Other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other amortization from same store properties remained relatively unchanged. Depreciation and other amortization from acquired properties increased $2.5 million due to properties acquired subsequent to December 31, 2024. Depreciation and other amortization from sold properties decreased $0.2 million due to properties sold subsequent to December 31, 2024. Depreciation and other amortization from (re)developments increased $1.6 million primarily due to an increase in depreciation and amortization related to completed developments. Depreciation from corporate furniture, fixtures and equipment and other was relatively unchanged.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we recognized $16.6 million of gain on sale of real estate related to the sale of four industrial properties totaling approximately 0.3 million square feet of GLA. For the three months ended June 30, 2025, we recognized $1.1 million of gain on sale of real estate related to the sale of one industrial property totaling approximately 0.02 million square feet of GLA.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$2.7 million, or 12.6%, primarily due to a higher weighted average debt balance of $2,616.6 million for the three months ended June 30, 2026 compared to $2,418.2 million for the three months ended June 30, 2025, as well as an increase in the weighted average interest rate to 4.23% for the three months ended June 30, 2026 from 4.10% for the three months ended June 30, 2025, offset by a $0.1 million increase in capitalized interest during the three months ended June 30, 2026 compared to the three months ended June 30, 2025.</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Amortization of debt issuance costs increased $0.2 million, or 18.3%, primarily due to financing costs incurred related to the amendment and restatement of our $425.0 million term loan in January 2026 and the issuance of $450.0 million of senior notes in May 2025.</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Equity in income (loss) of joint venture and income tax benefit (provision) for both three-month periods was not significant. </w:t>
      </w:r>
    </w:p>
    <w:p>
      <w:pPr>
        <w:pStyle w:val="TextBody"/>
        <w:bidi w:val="0"/>
        <w:spacing w:before="18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Leasing Activity</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The following table provides a summary of our leasing activity for the three and six months ended June 30, 2026. The table does not include month-to-month leases or leases with terms less than twelve months. </w:t>
      </w:r>
      <w:r>
        <w:rPr>
          <w:color w:val="000000"/>
        </w:rPr>
        <w:t> </w:t>
      </w:r>
    </w:p>
    <w:tbl>
      <w:tblPr>
        <w:tblW w:w="10205" w:type="dxa"/>
        <w:jc w:val="left"/>
        <w:tblInd w:w="0" w:type="dxa"/>
        <w:tblLayout w:type="fixed"/>
        <w:tblCellMar>
          <w:top w:w="28" w:type="dxa"/>
          <w:left w:w="28" w:type="dxa"/>
          <w:bottom w:w="28" w:type="dxa"/>
          <w:right w:w="28" w:type="dxa"/>
        </w:tblCellMar>
      </w:tblPr>
      <w:tblGrid>
        <w:gridCol w:w="613"/>
        <w:gridCol w:w="284"/>
        <w:gridCol w:w="285"/>
        <w:gridCol w:w="330"/>
        <w:gridCol w:w="330"/>
        <w:gridCol w:w="331"/>
        <w:gridCol w:w="109"/>
        <w:gridCol w:w="109"/>
        <w:gridCol w:w="109"/>
        <w:gridCol w:w="330"/>
        <w:gridCol w:w="330"/>
        <w:gridCol w:w="331"/>
        <w:gridCol w:w="109"/>
        <w:gridCol w:w="109"/>
        <w:gridCol w:w="109"/>
        <w:gridCol w:w="263"/>
        <w:gridCol w:w="771"/>
        <w:gridCol w:w="138"/>
        <w:gridCol w:w="109"/>
        <w:gridCol w:w="109"/>
        <w:gridCol w:w="109"/>
        <w:gridCol w:w="327"/>
        <w:gridCol w:w="195"/>
        <w:gridCol w:w="486"/>
        <w:gridCol w:w="109"/>
        <w:gridCol w:w="109"/>
        <w:gridCol w:w="109"/>
        <w:gridCol w:w="274"/>
        <w:gridCol w:w="274"/>
        <w:gridCol w:w="275"/>
        <w:gridCol w:w="109"/>
        <w:gridCol w:w="109"/>
        <w:gridCol w:w="109"/>
        <w:gridCol w:w="240"/>
        <w:gridCol w:w="581"/>
        <w:gridCol w:w="125"/>
        <w:gridCol w:w="109"/>
        <w:gridCol w:w="109"/>
        <w:gridCol w:w="109"/>
        <w:gridCol w:w="269"/>
        <w:gridCol w:w="244"/>
        <w:gridCol w:w="617"/>
      </w:tblGrid>
      <w:tr>
        <w:trPr/>
        <w:tc>
          <w:tcPr>
            <w:tcW w:w="6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Leases</w:t>
              <w:br/>
              <w:t>Commenced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w:t>
              <w:br/>
              <w:t>Commenced</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Rent Per</w:t>
            </w:r>
          </w:p>
          <w:p>
            <w:pPr>
              <w:pStyle w:val="TableContents"/>
              <w:bidi w:val="0"/>
              <w:spacing w:lineRule="auto" w:line="240" w:before="0" w:after="0"/>
              <w:jc w:val="center"/>
              <w:rPr/>
            </w:pPr>
            <w:r>
              <w:rPr>
                <w:rFonts w:ascii="Times New Roman;serif" w:hAnsi="Times New Roman;serif"/>
                <w:b/>
                <w:color w:val="000000"/>
                <w:sz w:val="16"/>
              </w:rPr>
              <w:t>Square Foot</w:t>
            </w:r>
            <w:r>
              <w:rPr>
                <w:color w:val="000000"/>
              </w:rPr>
              <w:t>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Straight Line Basis</w:t>
            </w:r>
          </w:p>
          <w:p>
            <w:pPr>
              <w:pStyle w:val="TableContents"/>
              <w:bidi w:val="0"/>
              <w:spacing w:lineRule="auto" w:line="240" w:before="0" w:after="0"/>
              <w:jc w:val="center"/>
              <w:rPr/>
            </w:pPr>
            <w:r>
              <w:rPr>
                <w:rFonts w:ascii="Times New Roman;serif" w:hAnsi="Times New Roman;serif"/>
                <w:b/>
                <w:color w:val="000000"/>
                <w:sz w:val="16"/>
              </w:rPr>
              <w:t>Rent  Growth </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Lease</w:t>
            </w:r>
          </w:p>
          <w:p>
            <w:pPr>
              <w:pStyle w:val="TableContents"/>
              <w:bidi w:val="0"/>
              <w:spacing w:lineRule="auto" w:line="240" w:before="0" w:after="0"/>
              <w:jc w:val="center"/>
              <w:rPr/>
            </w:pPr>
            <w:r>
              <w:rPr>
                <w:rFonts w:ascii="Times New Roman;serif" w:hAnsi="Times New Roman;serif"/>
                <w:b/>
                <w:color w:val="000000"/>
                <w:sz w:val="16"/>
              </w:rPr>
              <w:t xml:space="preserve">Term </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Lease Costs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Square</w:t>
            </w:r>
          </w:p>
          <w:p>
            <w:pPr>
              <w:pStyle w:val="TableContents"/>
              <w:bidi w:val="0"/>
              <w:spacing w:lineRule="auto" w:line="240" w:before="0" w:after="0"/>
              <w:jc w:val="center"/>
              <w:rPr/>
            </w:pPr>
            <w:r>
              <w:rPr>
                <w:rFonts w:ascii="Times New Roman;serif" w:hAnsi="Times New Roman;serif"/>
                <w:b/>
                <w:color w:val="000000"/>
                <w:sz w:val="16"/>
              </w:rPr>
              <w:t xml:space="preserve">Foot </w:t>
            </w:r>
            <w:r>
              <w:rPr>
                <w:rFonts w:ascii="Times New Roman;serif" w:hAnsi="Times New Roman;serif"/>
                <w:b/>
                <w:color w:val="000000"/>
                <w:sz w:val="1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Tenant</w:t>
            </w:r>
          </w:p>
          <w:p>
            <w:pPr>
              <w:pStyle w:val="TableContents"/>
              <w:bidi w:val="0"/>
              <w:spacing w:lineRule="auto" w:line="240" w:before="0" w:after="0"/>
              <w:jc w:val="center"/>
              <w:rPr/>
            </w:pPr>
            <w:r>
              <w:rPr>
                <w:rFonts w:ascii="Times New Roman;serif" w:hAnsi="Times New Roman;serif"/>
                <w:b/>
                <w:color w:val="000000"/>
                <w:sz w:val="16"/>
              </w:rPr>
              <w:t>Retention </w:t>
            </w:r>
            <w:r>
              <w:rPr>
                <w:rFonts w:ascii="Times New Roman;serif" w:hAnsi="Times New Roman;serif"/>
                <w:b/>
                <w:color w:val="000000"/>
                <w:sz w:val="10"/>
              </w:rPr>
              <w:t>(E)</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Weighted Average</w:t>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Six Months Ended</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Weighted Average</w:t>
            </w:r>
          </w:p>
        </w:tc>
        <w:tc>
          <w:tcPr>
            <w:tcW w:w="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80" w:after="283"/>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Net rent is the average base rent, calculated in accordance with GAAP, over the term of the lease.</w:t>
      </w:r>
    </w:p>
    <w:p>
      <w:pPr>
        <w:pStyle w:val="TextBody"/>
        <w:bidi w:val="0"/>
        <w:spacing w:lineRule="auto" w:line="288" w:before="0" w:after="0"/>
        <w:ind w:left="0" w:right="0" w:hanging="270"/>
        <w:jc w:val="both"/>
        <w:rPr/>
      </w:pPr>
      <w:r>
        <w:rPr>
          <w:rFonts w:ascii="Times New Roman;serif" w:hAnsi="Times New Roman;serif"/>
          <w:b w:val="false"/>
          <w:color w:val="000000"/>
          <w:sz w:val="13"/>
        </w:rPr>
        <w:t>(B)    </w:t>
      </w:r>
      <w:r>
        <w:rPr>
          <w:rFonts w:ascii="Times New Roman;serif" w:hAnsi="Times New Roman;serif"/>
          <w:b w:val="false"/>
          <w:color w:val="000000"/>
          <w:sz w:val="20"/>
        </w:rPr>
        <w:t>Straight line basis rent growth is calculated as the percentage change in net rent (including straight line rent adjustments) on a new or renewal lease compared to the net rent (also including straight line rent adjustments) of the expiring comparable lease. New leases without a prior comparable lease are excluded from this metric.</w:t>
      </w:r>
    </w:p>
    <w:p>
      <w:pPr>
        <w:pStyle w:val="TextBody"/>
        <w:bidi w:val="0"/>
        <w:spacing w:lineRule="auto" w:line="288" w:before="0" w:after="0"/>
        <w:ind w:left="0" w:right="0" w:hanging="360"/>
        <w:jc w:val="both"/>
        <w:rPr/>
      </w:pPr>
      <w:r>
        <w:rPr>
          <w:rFonts w:ascii="Times New Roman;serif" w:hAnsi="Times New Roman;serif"/>
          <w:b w:val="false"/>
          <w:color w:val="000000"/>
          <w:sz w:val="13"/>
        </w:rPr>
        <w:t>(C)    </w:t>
      </w:r>
      <w:r>
        <w:rPr>
          <w:rFonts w:ascii="Times New Roman;serif" w:hAnsi="Times New Roman;serif"/>
          <w:b w:val="false"/>
          <w:color w:val="000000"/>
          <w:sz w:val="20"/>
        </w:rPr>
        <w:t>The lease term is expressed in years and assumes no exercise of any renewal or extension options.</w:t>
      </w:r>
    </w:p>
    <w:p>
      <w:pPr>
        <w:pStyle w:val="TextBody"/>
        <w:bidi w:val="0"/>
        <w:spacing w:lineRule="auto" w:line="288" w:before="0" w:after="0"/>
        <w:ind w:left="0" w:right="0" w:hanging="270"/>
        <w:jc w:val="both"/>
        <w:rPr/>
      </w:pPr>
      <w:r>
        <w:rPr>
          <w:rFonts w:ascii="Times New Roman;serif" w:hAnsi="Times New Roman;serif"/>
          <w:b w:val="false"/>
          <w:color w:val="000000"/>
          <w:sz w:val="13"/>
        </w:rPr>
        <w:t>(D)    </w:t>
      </w:r>
      <w:r>
        <w:rPr>
          <w:rFonts w:ascii="Times New Roman;serif" w:hAnsi="Times New Roman;serif"/>
          <w:b w:val="false"/>
          <w:color w:val="000000"/>
          <w:sz w:val="20"/>
        </w:rPr>
        <w:t>Lease costs include all costs incurred or capitalized for improvements related to vacant and renewal spaces, along with leasing commissions and other capitalized transaction-related costs. Lease costs per square foot represent the total expected turnover costs for leases that commenced during the period and may not reflect actual expenditures for the period. Excludes properties with zero square footage, such as income producing land.</w:t>
      </w:r>
    </w:p>
    <w:p>
      <w:pPr>
        <w:pStyle w:val="TextBody"/>
        <w:bidi w:val="0"/>
        <w:spacing w:lineRule="auto" w:line="288" w:before="0" w:after="0"/>
        <w:ind w:left="0" w:right="0" w:hanging="360"/>
        <w:jc w:val="both"/>
        <w:rPr/>
      </w:pPr>
      <w:r>
        <w:rPr>
          <w:rFonts w:ascii="Times New Roman;serif" w:hAnsi="Times New Roman;serif"/>
          <w:b w:val="false"/>
          <w:color w:val="000000"/>
          <w:sz w:val="13"/>
        </w:rPr>
        <w:t>(E)    </w:t>
      </w:r>
      <w:r>
        <w:rPr>
          <w:rFonts w:ascii="Times New Roman;serif" w:hAnsi="Times New Roman;serif"/>
          <w:b w:val="false"/>
          <w:color w:val="000000"/>
          <w:sz w:val="20"/>
        </w:rPr>
        <w:t>Represents the weighted average square footage of tenants that renewed their respective leases.</w:t>
      </w:r>
    </w:p>
    <w:p>
      <w:pPr>
        <w:pStyle w:val="TextBody"/>
        <w:bidi w:val="0"/>
        <w:spacing w:before="0" w:after="0"/>
        <w:ind w:left="0" w:right="0" w:hanging="360"/>
        <w:jc w:val="both"/>
        <w:rPr/>
      </w:pPr>
      <w:r>
        <w:rPr/>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The following table provides a summary of our leases that commenced during the three and six months ended June 30, 2026, which included rent concessions (abated rent) during the lease term. </w:t>
      </w:r>
      <w:r>
        <w:rPr>
          <w:color w:val="000000"/>
        </w:rPr>
        <w:t> </w:t>
      </w:r>
    </w:p>
    <w:tbl>
      <w:tblPr>
        <w:tblW w:w="7327" w:type="dxa"/>
        <w:jc w:val="center"/>
        <w:tblInd w:w="0" w:type="dxa"/>
        <w:tblLayout w:type="fixed"/>
        <w:tblCellMar>
          <w:top w:w="28" w:type="dxa"/>
          <w:left w:w="28" w:type="dxa"/>
          <w:bottom w:w="28" w:type="dxa"/>
          <w:right w:w="28" w:type="dxa"/>
        </w:tblCellMar>
      </w:tblPr>
      <w:tblGrid>
        <w:gridCol w:w="923"/>
        <w:gridCol w:w="811"/>
        <w:gridCol w:w="815"/>
        <w:gridCol w:w="584"/>
        <w:gridCol w:w="584"/>
        <w:gridCol w:w="586"/>
        <w:gridCol w:w="109"/>
        <w:gridCol w:w="109"/>
        <w:gridCol w:w="109"/>
        <w:gridCol w:w="325"/>
        <w:gridCol w:w="325"/>
        <w:gridCol w:w="326"/>
        <w:gridCol w:w="109"/>
        <w:gridCol w:w="109"/>
        <w:gridCol w:w="109"/>
        <w:gridCol w:w="271"/>
        <w:gridCol w:w="926"/>
        <w:gridCol w:w="197"/>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Leases</w:t>
              <w:br/>
              <w:t>With Rent Concessions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Rent Concessions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Six Months Ended</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June 30, 2026, our cash and cash equivalents and restricted cash were approximately $114.2 million, excluding our Joint Venture partner's share of cash and cash equivalents that we consolidate and report in our financial statements. We also had $724.9 million of availability for additional borrowings under our Unsecured Credit Facility as of June 30, 2026.</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considered our short-term liquidity requirements through June 30, 2027, as well as the adequacy of our estimated cash flow from operations and other expected liquidity sources to meet those requirements. We have $125.0 million of private placement notes maturing in April 2027 and $6.1 million in public notes maturing in May 2027. We expect to satisfy these obligations on or prior to their respective maturity dates with borrowings under our Unsecured Credit Facility or the issuance of other indebtedness. We believe that our principal short-term liquidity needs include funding normal recurring expenses, property acquisitions, developments, expansions, renovations and other nonrecurring capital improvements, debt service requirements, the minimum distributions required to maintain the Company's REIT status under the Code and distributions approved by the Company's Board of Directors. We anticipate meeting these short-term liquidity requirements primarily through cash flows generated by operating activities and proceeds from select asset dispositions. Additional sources of liquidity may include the issuance of other debt or equity securities or borrowings under our Unsecured Credit Facility, subject to market conditions.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expect to meet our long-term liquidity requirements (beyond June 30, 2027) such as property acquisitions, development projects, scheduled debt maturities, major renovations, expansions and other nonrecurring capital improvements through a combination of select asset dispositions, long-term unsecured and secured indebtedness and the issuance of additional equity securities, subject to market conditions.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were in compliance with our financial covenants as of June 30, 2026, and we anticipate that we will be able to operate in compliance for the next twelve months. However, these financial covenants are complex and there can be no assurance that these provisions would not be interpreted by our lenders and noteholders in a manner that could impose and cause us to incur material costs and our access to borrowings on the Unsecured Credit Facility may be limited if we fail to meet any of these covenants.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July 23, 2026, we had approximately $742.5 million available for additional borrowings under our Unsecured Credit Facility.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senior unsecured notes have been assigned credit ratings from Standard &amp; Poor's, Moody's and Fitch Ratings of BBB/Stable, Baa2/Stable and BBB+/Stable, respectively. In the event of a downgrade, we believe we would continue to have access to sufficient capital. However, our cost of borrowing would increase and our ability to access certain financial markets may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Cash Flow Activity</w:t>
      </w:r>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activity for the Company for the six months ended June 30, 2026 and 2025:</w:t>
      </w:r>
    </w:p>
    <w:tbl>
      <w:tblPr>
        <w:tblW w:w="7205" w:type="dxa"/>
        <w:jc w:val="center"/>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826"/>
        <w:gridCol w:w="109"/>
        <w:gridCol w:w="109"/>
        <w:gridCol w:w="109"/>
        <w:gridCol w:w="109"/>
        <w:gridCol w:w="211"/>
        <w:gridCol w:w="82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activity for the Operating Partnership for the six months ended June 30, 2026 and 2025:</w:t>
      </w:r>
    </w:p>
    <w:tbl>
      <w:tblPr>
        <w:tblW w:w="7205" w:type="dxa"/>
        <w:jc w:val="center"/>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826"/>
        <w:gridCol w:w="109"/>
        <w:gridCol w:w="109"/>
        <w:gridCol w:w="109"/>
        <w:gridCol w:w="109"/>
        <w:gridCol w:w="211"/>
        <w:gridCol w:w="82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cash flow for the six months ended June 30, 2026, compared to the prior year comparable period are described as follows:</w:t>
      </w:r>
    </w:p>
    <w:p>
      <w:pPr>
        <w:pStyle w:val="TextBody"/>
        <w:bidi w:val="0"/>
        <w:spacing w:lineRule="auto" w:line="288" w:before="120" w:after="12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Cash provided by operating activities decreased $11.8 million, primarily due to the following:</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decrease in distributions from our Joint Venture of $22.9 million in 2026 as compared to 2025;</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decrease in accounts payable, accrued expenses, other liabilities, rents received in advance and security deposits due to timing of cash payments;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increase of $7.1 million in interest expense; offset by:</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increase in net operating income ("NOI") from same store properties, acquired properties and recently developed properties of $26.7 million offset by a decrease in NOI due to the disposition of real estate of $1.2 million;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decrease in income tax provision of $3.1 million;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decrease in tenant accounts receivable, prepaid expenses and other assets due to timing of cash receipts. </w:t>
      </w:r>
    </w:p>
    <w:p>
      <w:pPr>
        <w:pStyle w:val="TextBody"/>
        <w:bidi w:val="0"/>
        <w:spacing w:lineRule="auto" w:line="288" w:before="120" w:after="12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Cash used in investing activities decreased $250.0 million, primarily due to the following:</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increase of $143.6 million in net proceeds received from the disposition of real estate in 2026 as compared to 2025;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decrease of $100.7 million related to the acquisition, development and investment in real estate activity, primarily attributed to lower acquisition-related and development spending during the six months ended June 30, 2026 as compared to the six months ended June 30, 2025;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increase of $5.5 million in net cash flows from our Joint Venture, reflecting capital contributions made during the six months ended June 30, 2025 as compared to a distribution received during the six months ended June 30, 2026.</w:t>
      </w:r>
    </w:p>
    <w:p>
      <w:pPr>
        <w:pStyle w:val="TextBody"/>
        <w:bidi w:val="0"/>
        <w:spacing w:lineRule="auto" w:line="288" w:before="120" w:after="12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Cash used in financing activities was $126.7 million for the six months ended June 30, 2026 as compared to cash provided by financing activities of $58.7 million for the six months ended June 30, 2025, resulting in an increase of cash used in financing activities of $185.4 million, primarily due to the following:</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issuance of senior unsecured notes in 2025 resulting in net proceeds of $443.8 million;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increase in dividend and unit distributions of $18.0 million due to the Company increasing the dividend rate in 2026 as well as a slight increase in common shares and units outstanding; offset by:</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decrease in net repayments of borrowings under our Unsecured Credit Facility of $198.0 million in 2026 as compared to 2025;</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increase of $75.0 million in proceeds from refinancing of the $300.0 million unsecured term loan with a $375.0 million unsecured term loan in 2026;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decrease in financing issuance costs of $7.1 million related to the refinancing of the Unsecured Credit Facility and the $200.0 million unsecured term loan in 2025 and the issuance of senior unsecured notes in 2025, offset by the refinancing of the $425.0 million and the $300.0 million unsecured term loans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about our risk-management activities includes "forward-looking statements" that involve risk and uncertainties. Actual results could differ materially from those projected in the forward-looking statements. Our business subjects us to market risk from interest rates, as described below.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analysis presents the hypothetical gain or loss in earnings, cash flows or fair value of the financial instruments and derivative instruments that are held by us at June 30, 2026 that are sensitive to changes in interest rates. While this analysis may have some use as a benchmark, it should not be viewed as a forecast.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also face risks that are either non-financial or non-quantifiable. Such risks principally include credit risk and legal risk and are not represented in the following analysis.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$2,380.0 million, or 92.3%, of our total debt, excluding unamortized debt issuance costs, was fixed rate debt, while $198.0 million, or 7.7%, was variable rate debt. At December 31, 2025, $2,379.9 million, or 92.9%, of our total debt, excluding unamortized debt issuance costs, was fixed rate debt, while $183.0 million, or 7.1%, was variable rate debt. At June 30, 2026 and December 31, 2025, the fixed rate debt amounts include variable rate debt that has been effectively swapped to a fixed rate through the use of derivative instruments with an aggregate notional amount outstanding of $925.0 million. These derivatives mitigate our exposure to our Unsecured Term Loans' variable interest rates, which are based on SOFR. The use of derivative financial instruments allows us to manage the risk of interest rate increases and the related impact on our earnings and cash flows. We designated all of the interest rate swaps related to our Unsecured Term Loans as cash flow hedges. Currently, we do not enter into financial instruments for trading or other speculative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rate debt, changes in interest rates generally affect the fair value of the debt, but not our earnings or cash flows. Conversely, for variable rate debt, changes in the base interest rate used to calculate the all-in interest rate generally do not impact the fair value of the debt, but would affect our future earnings and cash flows. The interest rate risk and changes in fair market value of fixed rate debt generally do not have a significant impact on us until we are required to refinance such debt. See Note 4 to the Consolidated Financial Statements for a discussion of the maturity dates of our various fixed rate debt.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variable rate debt is subject to risk based upon prevailing market interest rates. If the SOFR rate component relevant to our variable rate debt were to have increased 10%, we estimate that our interest expense during the six months ended June 30, 2026 would have increased by approximately $0.4 million based on our average outstanding floating-rate debt during the six months ended June 30, 2026. Additionally, if weighted average interest rates on our weighted average fixed rate debt during the six months ended June 30, 2026 were to have increased by 10% due to refinancing, interest expense would have increased by approximately $5.0 million during the six months ended June 30,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estimated fair value of our debt was approximately $2,531.4 million based on our estimate of the then-current market interest rates.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Supplemental Earnings Measure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Investors in and industry analysts following the real estate industry utilize funds from operations ("FFO") and NOI as supplemental performance measures of an equity REIT. Historical cost accounting for real estate assets in accordance with accounting principles generally accepted in the United States of America ("GAAP") implicitly assumes that the value of real estate assets diminishes predictably over time through depreciation. Since real estate values instead have historically risen or fallen with market conditions, many industry analysts and investors prefer to supplement operating results that use historical cost accounting with measures such as FFO and NOI, among others. We provide information related to FFO and same store NOI ("SS NOI") both because such industry analysts are interested in such information, and because our management believes FFO and SS NOI are important performance measures. FFO and SS NOI are factors used by management in measuring our performance, including for purposes of determining the compensation of our executive officers under our 2026 incentive compensation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Neither FFO nor SS NOI should be considered as a substitute for net income, or any other measures derived in accordance with GAAP. Neither FFO nor SS NOI represents cash generated from operating activities in accordance with GAAP and neither should be considered as an alternative to cash flow from operating activities as a measure of our liquidity, nor is either indicative of funds available for our cash needs, including our ability to make cash distributions. Additionally, our method for calculating FFO and SS NOI may differ from those used by other real estate companies, limiting comparability.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Funds From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National Association of Real Estate Investment Trusts ("NAREIT") has recognized and defined for the real estate industry a supplemental measure of REIT operating performance, FFO, that excludes historical cost depreciation, among other items, from net income determined in accordance with GAAP. FFO is a non-GAAP financial measure. FFO is calculated by us in accordance with the definition adopted by the Board of Governors of NAREIT and may not be comparable to other similarly titled measures of other companies. In accordance with the NAREIT definition of FFO, we calculate FFO to be equal to net income available to First Industrial Realty Trust, Inc.'s common stockholders and participating securities, plus depreciation and other amortization of real estate, plus impairment of real estate, minus gain or plus loss on sale of real estate, net of any income tax provision or benefit associated with the sale of real estate. We also exclude the same adjustments from our share of net income from an unconsolidated joint venture.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use of FFO available to common stockholders and participating securities, combined with net income (which remains the primary measure of performance), improves the understanding of operating results of REITs among the investing public and makes comparisons of REIT operating results more meaningful. Management believes that, by excluding gains or losses related to sales of real estate assets, impairment of real estate assets and real estate asset depreciation and amortization, investors and analysts are able to identify the operating results of the long-term assets that form the core of a REIT's activity and use these operating results for assistance in comparing these operating results between periods or to those of different companies.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net income available to common stockholders and participating securities to the calculation of FFO available to common stockholders and participating securities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918"/>
        <w:gridCol w:w="1388"/>
        <w:gridCol w:w="139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91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 and Participating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 in the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(Including Incentive Fees) from the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 Excluded from FFO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Share of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Funds from Operations Available to First Industrial Realty Trust, Inc.'s Common Stockholders and Participating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190,069 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left"/>
        <w:rPr>
          <w:rFonts w:ascii="Times New Roman;serif" w:hAnsi="Times New Roman;serif"/>
          <w:b/>
          <w:i/>
          <w:color w:val="000000"/>
          <w:sz w:val="20"/>
        </w:rPr>
      </w:pPr>
      <w:r>
        <w:rPr>
          <w:rFonts w:ascii="Times New Roman;serif" w:hAnsi="Times New Roman;serif"/>
          <w:b/>
          <w:i/>
          <w:color w:val="000000"/>
          <w:sz w:val="20"/>
        </w:rPr>
        <w:t>Same Store Net Operating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cash basis SS NOI to be a useful non-GAAP supplemental measure of our operating performance. We believe SS NOI enhances the comparability of a company's real estate portfolio to that of other real estate companies. SS NOI reflects the results of operations of properties that were owned and placed in service prior to January 1, 2025, and remained in service through the end of the reporting period.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SS NOI as revenues minus property expenses such as real estate taxes, repairs and maintenance, property management, utilities, insurance and other expenses. SS NOI is further adjusted to exclude the NOI of properties that are not included in the same store pool. Additionally, we exclude the impact of straight-line rent, above and below market rent amortization and lease termination fees, as we believe excluding them provides a more meaningful reflection of cash-basis rental growth and allows for a more consistent year-over-year analysis of property-level performance. SS NOI does not include depreciation and amortization, general and administrative expense, interest expense, income tax benefit and expense, equity in income or loss from joint venture, joint venture fees and joint venture development services expense.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factors influencing SS NOI are occupancy levels, changes in rental rates and fluctuations in tenant recoveries. Our ability to grow SS NOI is largely dependent on our success in leasing space and recovering property operating costs from tenants under existing lease agreements.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the same store revenues and property expenses, as disclosed in the results of operations and reconciled to revenues and expenses reflected on the statements of operations, to SS NOI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35"/>
        <w:gridCol w:w="629"/>
        <w:gridCol w:w="633"/>
        <w:gridCol w:w="211"/>
        <w:gridCol w:w="826"/>
        <w:gridCol w:w="109"/>
        <w:gridCol w:w="109"/>
        <w:gridCol w:w="109"/>
        <w:gridCol w:w="109"/>
        <w:gridCol w:w="211"/>
        <w:gridCol w:w="826"/>
        <w:gridCol w:w="109"/>
        <w:gridCol w:w="109"/>
        <w:gridCol w:w="109"/>
        <w:gridCol w:w="109"/>
        <w:gridCol w:w="290"/>
        <w:gridCol w:w="290"/>
        <w:gridCol w:w="291"/>
        <w:gridCol w:w="109"/>
        <w:gridCol w:w="109"/>
        <w:gridCol w:w="109"/>
        <w:gridCol w:w="211"/>
        <w:gridCol w:w="826"/>
        <w:gridCol w:w="109"/>
        <w:gridCol w:w="109"/>
        <w:gridCol w:w="109"/>
        <w:gridCol w:w="109"/>
        <w:gridCol w:w="211"/>
        <w:gridCol w:w="826"/>
        <w:gridCol w:w="109"/>
        <w:gridCol w:w="109"/>
        <w:gridCol w:w="109"/>
        <w:gridCol w:w="109"/>
        <w:gridCol w:w="268"/>
        <w:gridCol w:w="268"/>
        <w:gridCol w:w="382"/>
      </w:tblGrid>
      <w:tr>
        <w:trPr/>
        <w:tc>
          <w:tcPr>
            <w:tcW w:w="93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Property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Net Operating Income Before Same Store Adjustments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(Below) Market Lease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Net Operating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r>
    </w:tbl>
    <w:p>
      <w:pPr>
        <w:pStyle w:val="TextBody"/>
        <w:bidi w:val="0"/>
        <w:spacing w:before="30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net income available to common stockholders and participating securities to cash basis SS NOI without lease termination fees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38"/>
        <w:gridCol w:w="1424"/>
        <w:gridCol w:w="14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3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 and Participating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 in the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 Allocable to FFO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Corporate FF&amp;E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from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 Excluded from FFO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Net of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263,138 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Non-Same Store Net Operating Income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Same Store Net Operating Income Before Same Store Adjustments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(Below) Market Lease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Same Store Net Operating Income (Cash Basis without Termination Fees)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 Consolidated Financial Statements were issued, noting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5849" w:type="dxa"/>
        <w:jc w:val="left"/>
        <w:tblInd w:w="0" w:type="dxa"/>
        <w:tblLayout w:type="fixed"/>
        <w:tblCellMar>
          <w:top w:w="28" w:type="dxa"/>
          <w:left w:w="28" w:type="dxa"/>
          <w:bottom w:w="28" w:type="dxa"/>
          <w:right w:w="28" w:type="dxa"/>
        </w:tblCellMar>
      </w:tblPr>
      <w:tblGrid>
        <w:gridCol w:w="255"/>
        <w:gridCol w:w="224"/>
        <w:gridCol w:w="226"/>
        <w:gridCol w:w="1505"/>
        <w:gridCol w:w="1505"/>
        <w:gridCol w:w="21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Quantitative and Qualitative Disclosures About Market Risk</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Response to this item is included in Item 2, "Management's Discussion and Analysis of Financial Condition and Results of Operations"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09" w:type="dxa"/>
        <w:jc w:val="left"/>
        <w:tblInd w:w="0" w:type="dxa"/>
        <w:tblLayout w:type="fixed"/>
        <w:tblCellMar>
          <w:top w:w="28" w:type="dxa"/>
          <w:left w:w="28" w:type="dxa"/>
          <w:bottom w:w="28" w:type="dxa"/>
          <w:right w:w="28" w:type="dxa"/>
        </w:tblCellMar>
      </w:tblPr>
      <w:tblGrid>
        <w:gridCol w:w="255"/>
        <w:gridCol w:w="224"/>
        <w:gridCol w:w="226"/>
        <w:gridCol w:w="644"/>
        <w:gridCol w:w="644"/>
        <w:gridCol w:w="9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Controls and Procedures</w:t>
            </w:r>
          </w:p>
        </w:tc>
      </w:tr>
    </w:tbl>
    <w:p>
      <w:pPr>
        <w:pStyle w:val="TextBody"/>
        <w:bidi w:val="0"/>
        <w:spacing w:lineRule="auto" w:line="288" w:before="8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including its principal executive officer and principal financial officer, have conducted an evaluation of the effectiveness of the Company's disclosure controls and procedures (as defined in Exchange Act Rules 13a-15(e) and 15d-15(e)) as of the end of the period covered by this report. Based on the evaluation of these controls and procedures required by Exchange Act Rules 13a-15(b) or 15d-15(b), the Company's principal executive officer and principal financial officer have concluded that as of the end of such period the Company's disclosure controls and procedures were effective.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that occurred during the fiscal quarter covered by this report that has materially affected, or is reasonably likely to materially affect, the Company's internal control over financial reporting.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including its principal executive officer and principal financial officer, on behalf of the Company in its capacity as the general partner of the Operating Partnership, have conducted an evaluation of the effectiveness of the Operating Partnership's disclosure controls and procedures (as defined in Exchange Act Rules 13a-15(e) and 15d-15(e)) as of the end of the period covered by this report. Based on the evaluation of these controls and procedures required by Exchange Act Rules 13a-15(b) or 15d-15(b), the Company's principal executive officer and principal financial officer, on behalf of the Company in its capacity as the general partner of the Operating Partnership, have concluded that as of the end of such period the Operating Partnership's disclosure controls and procedures were effective.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Operating Partnership's internal control over financial reporting that occurred during the fiscal quarter covered by this report that has materially affected, or is reasonably likely to materially affect, the Operating Partnership's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99" w:type="dxa"/>
        <w:jc w:val="left"/>
        <w:tblInd w:w="0" w:type="dxa"/>
        <w:tblLayout w:type="fixed"/>
        <w:tblCellMar>
          <w:top w:w="28" w:type="dxa"/>
          <w:left w:w="28" w:type="dxa"/>
          <w:bottom w:w="28" w:type="dxa"/>
          <w:right w:w="28" w:type="dxa"/>
        </w:tblCellMar>
      </w:tblPr>
      <w:tblGrid>
        <w:gridCol w:w="255"/>
        <w:gridCol w:w="224"/>
        <w:gridCol w:w="226"/>
        <w:gridCol w:w="496"/>
        <w:gridCol w:w="496"/>
        <w:gridCol w:w="70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Legal Proceedings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304"/>
        <w:gridCol w:w="268"/>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Risk Factors</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our annual report on Form 10-K for the year ended December 31, 2025, except to the extent factual information disclosed elsewhere in this Form 10-Q relates to such risk factors. For a full description of these risk factors, please refer to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74" w:type="dxa"/>
        <w:jc w:val="left"/>
        <w:tblInd w:w="0" w:type="dxa"/>
        <w:tblLayout w:type="fixed"/>
        <w:tblCellMar>
          <w:top w:w="28" w:type="dxa"/>
          <w:left w:w="28" w:type="dxa"/>
          <w:bottom w:w="28" w:type="dxa"/>
          <w:right w:w="28" w:type="dxa"/>
        </w:tblCellMar>
      </w:tblPr>
      <w:tblGrid>
        <w:gridCol w:w="255"/>
        <w:gridCol w:w="224"/>
        <w:gridCol w:w="226"/>
        <w:gridCol w:w="1484"/>
        <w:gridCol w:w="1484"/>
        <w:gridCol w:w="210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 and Use of Proceeds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79" w:type="dxa"/>
        <w:jc w:val="left"/>
        <w:tblInd w:w="0" w:type="dxa"/>
        <w:tblLayout w:type="fixed"/>
        <w:tblCellMar>
          <w:top w:w="28" w:type="dxa"/>
          <w:left w:w="28" w:type="dxa"/>
          <w:bottom w:w="28" w:type="dxa"/>
          <w:right w:w="28" w:type="dxa"/>
        </w:tblCellMar>
      </w:tblPr>
      <w:tblGrid>
        <w:gridCol w:w="255"/>
        <w:gridCol w:w="224"/>
        <w:gridCol w:w="226"/>
        <w:gridCol w:w="811"/>
        <w:gridCol w:w="811"/>
        <w:gridCol w:w="115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Defaults Upon Senior Securities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5" w:type="dxa"/>
        <w:jc w:val="left"/>
        <w:tblInd w:w="0" w:type="dxa"/>
        <w:tblLayout w:type="fixed"/>
        <w:tblCellMar>
          <w:top w:w="28" w:type="dxa"/>
          <w:left w:w="28" w:type="dxa"/>
          <w:bottom w:w="28" w:type="dxa"/>
          <w:right w:w="28" w:type="dxa"/>
        </w:tblCellMar>
      </w:tblPr>
      <w:tblGrid>
        <w:gridCol w:w="255"/>
        <w:gridCol w:w="224"/>
        <w:gridCol w:w="226"/>
        <w:gridCol w:w="624"/>
        <w:gridCol w:w="624"/>
        <w:gridCol w:w="88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Mine Safety Disclosures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70" w:type="dxa"/>
        <w:jc w:val="left"/>
        <w:tblInd w:w="0" w:type="dxa"/>
        <w:tblLayout w:type="fixed"/>
        <w:tblCellMar>
          <w:top w:w="28" w:type="dxa"/>
          <w:left w:w="28" w:type="dxa"/>
          <w:bottom w:w="28" w:type="dxa"/>
          <w:right w:w="28" w:type="dxa"/>
        </w:tblCellMar>
      </w:tblPr>
      <w:tblGrid>
        <w:gridCol w:w="255"/>
        <w:gridCol w:w="224"/>
        <w:gridCol w:w="226"/>
        <w:gridCol w:w="487"/>
        <w:gridCol w:w="487"/>
        <w:gridCol w:w="69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Information</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adopted or terminated any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61" w:type="dxa"/>
        <w:jc w:val="left"/>
        <w:tblInd w:w="0" w:type="dxa"/>
        <w:tblLayout w:type="fixed"/>
        <w:tblCellMar>
          <w:top w:w="28" w:type="dxa"/>
          <w:left w:w="28" w:type="dxa"/>
          <w:bottom w:w="28" w:type="dxa"/>
          <w:right w:w="28" w:type="dxa"/>
        </w:tblCellMar>
      </w:tblPr>
      <w:tblGrid>
        <w:gridCol w:w="255"/>
        <w:gridCol w:w="224"/>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Exhibits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exhibits required by this item are set forth on the Exhibit Index attached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EXHIBIT INDEX</w:t>
      </w:r>
      <w:r>
        <w:rPr>
          <w:color w:val="000000"/>
        </w:rPr>
        <w:t> </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811"/>
        <w:gridCol w:w="2603"/>
        <w:gridCol w:w="369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630xex311.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630xex311.htm">
              <w:r>
                <w:rPr>
                  <w:rStyle w:val="InternetLink"/>
                  <w:rFonts w:ascii="Times New Roman;serif" w:hAnsi="Times New Roman;serif"/>
                  <w:b w:val="false"/>
                  <w:color w:val="0000FF"/>
                  <w:sz w:val="18"/>
                  <w:u w:val="single"/>
                </w:rPr>
                <w:t>Certification of Principal Executive Officer of First Industrial Realty Trust, Inc.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630xex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630xex312.htm">
              <w:r>
                <w:rPr>
                  <w:rStyle w:val="InternetLink"/>
                  <w:rFonts w:ascii="Times New Roman;serif" w:hAnsi="Times New Roman;serif"/>
                  <w:b w:val="false"/>
                  <w:color w:val="0000FF"/>
                  <w:sz w:val="18"/>
                  <w:u w:val="single"/>
                </w:rPr>
                <w:t>Certification of Principal Financial Officer of First Industrial Realty Trust, Inc.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630xex313.htm">
              <w:r>
                <w:rPr>
                  <w:rStyle w:val="InternetLink"/>
                  <w:rFonts w:ascii="Times New Roman;serif" w:hAnsi="Times New Roman;serif"/>
                  <w:b w:val="false"/>
                  <w:color w:val="0000FF"/>
                  <w:sz w:val="18"/>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630xex313.htm">
              <w:r>
                <w:rPr>
                  <w:rStyle w:val="InternetLink"/>
                  <w:rFonts w:ascii="Times New Roman;serif" w:hAnsi="Times New Roman;serif"/>
                  <w:b w:val="false"/>
                  <w:color w:val="0000FF"/>
                  <w:sz w:val="18"/>
                  <w:u w:val="single"/>
                </w:rPr>
                <w:t>Certification of Principal Executive Officer of First Industrial Realty Trust, Inc., in its capacity as the sole general partner of First Industrial, L.P.,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630xex314.htm">
              <w:r>
                <w:rPr>
                  <w:rStyle w:val="InternetLink"/>
                  <w:rFonts w:ascii="Times New Roman;serif" w:hAnsi="Times New Roman;serif"/>
                  <w:b w:val="false"/>
                  <w:color w:val="0000FF"/>
                  <w:sz w:val="18"/>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630xex314.htm">
              <w:r>
                <w:rPr>
                  <w:rStyle w:val="InternetLink"/>
                  <w:rFonts w:ascii="Times New Roman;serif" w:hAnsi="Times New Roman;serif"/>
                  <w:b w:val="false"/>
                  <w:color w:val="0000FF"/>
                  <w:sz w:val="18"/>
                  <w:u w:val="single"/>
                </w:rPr>
                <w:t>Certification of Principal Financial Officer of First Industrial Realty Trust, Inc., in its capacity as the sole general partner of First Industrial, L.P.,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630xex321.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630xex321.htm">
              <w:r>
                <w:rPr>
                  <w:rStyle w:val="InternetLink"/>
                  <w:rFonts w:ascii="Times New Roman;serif" w:hAnsi="Times New Roman;serif"/>
                  <w:b w:val="false"/>
                  <w:color w:val="0000FF"/>
                  <w:sz w:val="18"/>
                  <w:u w:val="single"/>
                </w:rPr>
                <w:t>Certification of the Principal Executive Officer and Principal Financial Officer of First Industrial Realty Trust, Inc. pursuant to 18 U.S.C. Section 1350, as adopted pursuant to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630xex322.htm">
              <w:r>
                <w:rPr>
                  <w:rStyle w:val="InternetLink"/>
                  <w:rFonts w:ascii="Times New Roman;serif" w:hAnsi="Times New Roman;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630xex322.htm">
              <w:r>
                <w:rPr>
                  <w:rStyle w:val="InternetLink"/>
                  <w:rFonts w:ascii="Times New Roman;serif" w:hAnsi="Times New Roman;serif"/>
                  <w:b w:val="false"/>
                  <w:color w:val="0000FF"/>
                  <w:sz w:val="18"/>
                  <w:u w:val="single"/>
                </w:rPr>
                <w:t>Certification of the Principal Executive Officer and Principal Financial Officer of First Industrial Realty Trust, Inc., in its capacity as the sole general partner of First Industrial, L.P., pursuant to 18 U.S.C. Section 1350, as adopted pursuant to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financial statements from First Industrial Realty Trust, Inc.'s and First Industrial L.P.'s Quarterly Report on Form 10-Q for the quarter ended June 30, 2026, formatted in Inline XBRL: (i) Consolidated Balance Sheets (unaudited), (ii) Consolidated Statements of Operations (unaudited), (iii) Consolidated Statements of Comprehensive Income (unaudited), (iv) Consolidated Statement of Changes in Equity / Consolidated Statement of Changes in Partners' Capital (unaudited), (v) Consolidated Statements of Cash Flows (unaudited) and (vi) Notes to Consolidated Financial Statements (unaudited)</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2097" w:type="dxa"/>
        <w:jc w:val="center"/>
        <w:tblInd w:w="0" w:type="dxa"/>
        <w:tblLayout w:type="fixed"/>
        <w:tblCellMar>
          <w:top w:w="28" w:type="dxa"/>
          <w:left w:w="28" w:type="dxa"/>
          <w:bottom w:w="28" w:type="dxa"/>
          <w:right w:w="28" w:type="dxa"/>
        </w:tblCellMar>
      </w:tblPr>
      <w:tblGrid>
        <w:gridCol w:w="124"/>
        <w:gridCol w:w="109"/>
        <w:gridCol w:w="109"/>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registrants have duly caused this report to be signed on its behalf by the undersigned, thereunto duly authorized.</w:t>
      </w:r>
    </w:p>
    <w:tbl>
      <w:tblPr>
        <w:tblW w:w="4572" w:type="dxa"/>
        <w:jc w:val="left"/>
        <w:tblInd w:w="0" w:type="dxa"/>
        <w:tblLayout w:type="fixed"/>
        <w:tblCellMar>
          <w:top w:w="28" w:type="dxa"/>
          <w:left w:w="28" w:type="dxa"/>
          <w:bottom w:w="28" w:type="dxa"/>
          <w:right w:w="28" w:type="dxa"/>
        </w:tblCellMar>
      </w:tblPr>
      <w:tblGrid>
        <w:gridCol w:w="124"/>
        <w:gridCol w:w="109"/>
        <w:gridCol w:w="109"/>
        <w:gridCol w:w="620"/>
        <w:gridCol w:w="620"/>
        <w:gridCol w:w="620"/>
        <w:gridCol w:w="690"/>
        <w:gridCol w:w="690"/>
        <w:gridCol w:w="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A. MUSIL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Scott A. Musil</w:t>
              <w:br/>
              <w:t>Chief Financial Officer</w:t>
              <w:b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 E. NIEMIEC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Sara E. Niemiec</w:t>
              <w:br/>
              <w:t>Chief Accounting Officer</w:t>
              <w:br/>
              <w:t>(Principal Accounting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spacing w:lineRule="auto" w:line="288" w:before="0" w:after="0"/>
        <w:jc w:val="left"/>
        <w:rPr>
          <w:color w:val="000000"/>
        </w:rPr>
      </w:pPr>
      <w:r>
        <w:rPr>
          <w:color w:val="000000"/>
        </w:rPr>
        <w:t> </w:t>
      </w:r>
    </w:p>
    <w:tbl>
      <w:tblPr>
        <w:tblW w:w="5450" w:type="dxa"/>
        <w:jc w:val="left"/>
        <w:tblInd w:w="0" w:type="dxa"/>
        <w:tblLayout w:type="fixed"/>
        <w:tblCellMar>
          <w:top w:w="28" w:type="dxa"/>
          <w:left w:w="28" w:type="dxa"/>
          <w:bottom w:w="28" w:type="dxa"/>
          <w:right w:w="28" w:type="dxa"/>
        </w:tblCellMar>
      </w:tblPr>
      <w:tblGrid>
        <w:gridCol w:w="124"/>
        <w:gridCol w:w="109"/>
        <w:gridCol w:w="109"/>
        <w:gridCol w:w="373"/>
        <w:gridCol w:w="373"/>
        <w:gridCol w:w="373"/>
        <w:gridCol w:w="1160"/>
        <w:gridCol w:w="1160"/>
        <w:gridCol w:w="1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A. MUSIL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Scott A. Musil</w:t>
              <w:br/>
              <w:t>Chief Financial Officer</w:t>
              <w:b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 E. NIEMIEC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Sara E. Niemiec</w:t>
              <w:br/>
              <w:t>Chief Accounting Officer</w:t>
              <w:br/>
              <w:t>(Principal Accounting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Peter E. Baccile,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Realty Trust,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616"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630"/>
        <w:gridCol w:w="1630"/>
        <w:gridCol w:w="232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Musil,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Realty Trust,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283"/>
        <w:jc w:val="both"/>
        <w:rPr/>
      </w:pPr>
      <w:r>
        <w:rPr/>
      </w:r>
    </w:p>
    <w:tbl>
      <w:tblPr>
        <w:tblW w:w="4451"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705"/>
        <w:gridCol w:w="705"/>
        <w:gridCol w:w="100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Peter E. Baccile,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283"/>
        <w:jc w:val="both"/>
        <w:rPr/>
      </w:pPr>
      <w:r>
        <w:rPr/>
      </w:r>
    </w:p>
    <w:tbl>
      <w:tblPr>
        <w:tblW w:w="5291"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951"/>
        <w:gridCol w:w="951"/>
        <w:gridCol w:w="135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b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Musil,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283"/>
        <w:jc w:val="both"/>
        <w:rPr/>
      </w:pPr>
      <w:r>
        <w:rPr/>
      </w:r>
    </w:p>
    <w:tbl>
      <w:tblPr>
        <w:tblW w:w="4811"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810"/>
        <w:gridCol w:w="810"/>
        <w:gridCol w:w="115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Accompanying Form 10-Q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First Industrial Realty Trust,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(Chapter 63, Title 18 U.S.C. §1350(a) and (b))</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(Chapter 63, Title 18 U.S.C. §1350(a) and (b)), each of the undersigned hereby certifies, to his knowledge, that the Quarterly Report on Form 10-Q for the period ended June 30, 2026 (the "Report") of First Industrial Realty Trust, Inc. (the “Company”)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before="180" w:after="283"/>
        <w:ind w:left="0" w:right="0" w:firstLine="495"/>
        <w:jc w:val="both"/>
        <w:rPr/>
      </w:pPr>
      <w:r>
        <w:rPr/>
      </w:r>
    </w:p>
    <w:tbl>
      <w:tblPr>
        <w:tblW w:w="5291"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951"/>
        <w:gridCol w:w="951"/>
        <w:gridCol w:w="135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br/>
              <w:t>(Principal Executive Officer)</w:t>
            </w:r>
          </w:p>
        </w:tc>
      </w:tr>
    </w:tbl>
    <w:p>
      <w:pPr>
        <w:pStyle w:val="TextBody"/>
        <w:bidi w:val="0"/>
        <w:spacing w:lineRule="auto" w:line="288" w:before="0" w:after="0"/>
        <w:jc w:val="left"/>
        <w:rPr>
          <w:color w:val="000000"/>
        </w:rPr>
      </w:pPr>
      <w:r>
        <w:rPr>
          <w:color w:val="000000"/>
        </w:rPr>
        <w:t> </w:t>
      </w:r>
    </w:p>
    <w:tbl>
      <w:tblPr>
        <w:tblW w:w="4451"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705"/>
        <w:gridCol w:w="705"/>
        <w:gridCol w:w="100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bl>
    <w:p>
      <w:pPr>
        <w:pStyle w:val="TextBody"/>
        <w:bidi w:val="0"/>
        <w:spacing w:before="0" w:after="20"/>
        <w:jc w:val="left"/>
        <w:rPr/>
      </w:pPr>
      <w:r>
        <w:rPr/>
      </w: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A signed original of this written statement required by Section 906 has been provided to the Company and will be retained by the Company and furnished to the Securities and Exchange Commission or its staff upon request. The information contained in this written statement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to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Accompanying Form 10-Q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First Industrial,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(Chapter 63, Title 18 U.S.C. §1350(a) and (b))</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(Chapter 63, Title 18 U.S.C. §1350(a) and (b)), each of the undersigned hereby certifies, to his knowledge, that the Quarterly Report on Form 10-Q for the period ended June 30, 2026 (the "Report") of First Industrial, L.P. (the “Operating Partnership”) fully complies with the requirements of Section 13(a) or 15(d) of the Securities Exchange Act of 1934 and that the information contained in the Report fairly presents, in all material respects, the financial condition and results of operations of the Operating Partnership.</w:t>
      </w:r>
    </w:p>
    <w:p>
      <w:pPr>
        <w:pStyle w:val="TextBody"/>
        <w:bidi w:val="0"/>
        <w:spacing w:before="180" w:after="283"/>
        <w:ind w:left="0" w:right="0" w:firstLine="495"/>
        <w:jc w:val="both"/>
        <w:rPr/>
      </w:pPr>
      <w:r>
        <w:rPr/>
      </w:r>
    </w:p>
    <w:tbl>
      <w:tblPr>
        <w:tblW w:w="540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951"/>
        <w:gridCol w:w="951"/>
        <w:gridCol w:w="135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b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bl>
    <w:p>
      <w:pPr>
        <w:pStyle w:val="TextBody"/>
        <w:bidi w:val="0"/>
        <w:spacing w:before="0" w:after="20"/>
        <w:jc w:val="left"/>
        <w:rPr/>
      </w:pPr>
      <w:r>
        <w:rPr/>
      </w: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A signed original of this written statement required by Section 906 has been provided to the Operating Partnership and will be retained by the Operating Partnership and furnished to the Securities and Exchange Commission or its staff upon request. The information contained in this written statement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to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23340</Words>
  <Characters>131137</Characters>
  <CharactersWithSpaces>152663</CharactersWithSpaces>
  <Paragraphs>3556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