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5144.xml.htm"/>
      <w:bookmarkStart w:id="1" w:name="kswkform4_17851851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MUSIL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 WACKER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7"/>
        <w:gridCol w:w="910"/>
        <w:gridCol w:w="779"/>
        <w:gridCol w:w="604"/>
        <w:gridCol w:w="349"/>
        <w:gridCol w:w="888"/>
        <w:gridCol w:w="451"/>
        <w:gridCol w:w="615"/>
        <w:gridCol w:w="1161"/>
        <w:gridCol w:w="997"/>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2,175</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Self as UTMA Custodian for Child</w:t>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2,603</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89,995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previously reported as indirectly beneficially owned by the Reporting Person as custodian under the Uniform Transfers to Minors Act for his child are no longer reported because the custodianship terminated when the child reached the age of majority. The Reporting Person no longer has any pecuniary interest in such securities and disclaims beneficial ownership of them.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Transfer to spouse/former spouse as part of marital dissolution settlement. The securities are no longer beneficially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8203"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4074</Characters>
  <CharactersWithSpaces>4742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