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666788.xml.htm"/>
      <w:bookmarkStart w:id="1" w:name="kswkform4_17776667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HACKETT H PATRICK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NORTH WACKER SUITE 4200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FIRST INDUSTRIAL REALTY TRUST INC</w:t>
              </w:r>
            </w:hyperlink>
            <w:r>
              <w:rPr/>
              <w:t xml:space="preserve"> [ </w:t>
            </w:r>
            <w:r>
              <w:rPr>
                <w:rFonts w:ascii="Times;serif" w:hAnsi="Times;serif"/>
                <w:color w:val="0000FF"/>
                <w:sz w:val="24"/>
                <w:shd w:fill="FFFFFF" w:val="clear"/>
              </w:rPr>
              <w:t>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units of limited partnership interest ("LP Units") in First Industrial L.P., of which the Company is the general partner, granted under the Company's 2024 Stock Incentive Plan. An LP Unit that has vested and received certain allocations will automatically convert into a common unit of limited partnership interest in First Industrial, L.P. on a one-for-one basis, which common unit may in turn be converted into a share of Common Stock of the Company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Not applicable. The LP Units vest upon the earlier of (i) the first anniversary of grant or (ii) the Company's next annual stockholder meeting following the date of grant where directors are elected.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Not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Matthews Rice,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6572" TargetMode="External"/><Relationship Id="rId5" Type="http://schemas.openxmlformats.org/officeDocument/2006/relationships/hyperlink" Target="http://www.sec.gov/cgi-bin/browse-edgar?action=getcompany&amp;CIK=0000921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3673</Characters>
  <CharactersWithSpaces>4293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