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Washington, D.C. 20549</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______________________________________________________________________________________________________</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 xml:space="preserve">FORM 8-K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______________________________________________________________________________________________________</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 xml:space="preserve">Current Report </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 xml:space="preserve">Pursuant to Section 13 or 15(d) </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of the Securities Exchange Act of 1934</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October 21, 2026</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Date of Report (Date of earliest event reported)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______________________________________________________________________________________________________</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 xml:space="preserve">FIRST INDUSTRIAL REALTY TRUST, INC. </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 xml:space="preserve">FIRST INDUSTRIAL, L.P.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(Exact name of registrant as specified in its charter) </w:t>
      </w:r>
    </w:p>
    <w:p>
      <w:pPr>
        <w:pStyle w:val="TextBody"/>
        <w:bidi w:val="0"/>
        <w:spacing w:lineRule="auto" w:line="288" w:before="0" w:after="0"/>
        <w:jc w:val="center"/>
        <w:rPr>
          <w:color w:val="000000"/>
        </w:rPr>
      </w:pPr>
      <w:r>
        <w:rPr>
          <w:color w:val="000000"/>
        </w:rPr>
        <w:t> </w:t>
      </w:r>
      <w:r>
        <w:rPr>
          <w:rFonts w:ascii="Times New Roman;serif" w:hAnsi="Times New Roman;serif"/>
          <w:b w:val="false"/>
          <w:color w:val="000000"/>
          <w:sz w:val="20"/>
        </w:rPr>
        <w:t>_____________________________________________________________________________________________________</w:t>
      </w:r>
    </w:p>
    <w:p>
      <w:pPr>
        <w:pStyle w:val="TextBody"/>
        <w:bidi w:val="0"/>
        <w:spacing w:lineRule="auto" w:line="288" w:before="0" w:after="0"/>
        <w:jc w:val="left"/>
        <w:rPr>
          <w:color w:val="000000"/>
        </w:rPr>
      </w:pPr>
      <w:r>
        <w:rPr>
          <w:color w:val="000000"/>
        </w:rPr>
        <w:t> </w:t>
      </w:r>
    </w:p>
    <w:tbl>
      <w:tblPr>
        <w:tblW w:w="8480" w:type="dxa"/>
        <w:jc w:val="center"/>
        <w:tblInd w:w="0" w:type="dxa"/>
        <w:tblLayout w:type="fixed"/>
        <w:tblCellMar>
          <w:top w:w="28" w:type="dxa"/>
          <w:left w:w="28" w:type="dxa"/>
          <w:bottom w:w="28" w:type="dxa"/>
          <w:right w:w="28" w:type="dxa"/>
        </w:tblCellMar>
      </w:tblPr>
      <w:tblGrid>
        <w:gridCol w:w="1059"/>
        <w:gridCol w:w="931"/>
        <w:gridCol w:w="934"/>
        <w:gridCol w:w="782"/>
        <w:gridCol w:w="782"/>
        <w:gridCol w:w="790"/>
        <w:gridCol w:w="109"/>
        <w:gridCol w:w="109"/>
        <w:gridCol w:w="109"/>
        <w:gridCol w:w="353"/>
        <w:gridCol w:w="353"/>
        <w:gridCol w:w="358"/>
        <w:gridCol w:w="109"/>
        <w:gridCol w:w="109"/>
        <w:gridCol w:w="109"/>
        <w:gridCol w:w="433"/>
        <w:gridCol w:w="433"/>
        <w:gridCol w:w="618"/>
      </w:tblGrid>
      <w:tr>
        <w:trPr/>
        <w:tc>
          <w:tcPr>
            <w:tcW w:w="105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r>
      <w:tr>
        <w:trPr/>
        <w:tc>
          <w:tcPr>
            <w:tcW w:w="29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First Industrial Realty Trust, Inc.</w:t>
            </w:r>
          </w:p>
        </w:tc>
        <w:tc>
          <w:tcPr>
            <w:tcW w:w="23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Maryland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1-13102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36-3935116</w:t>
            </w:r>
          </w:p>
        </w:tc>
      </w:tr>
      <w:tr>
        <w:trPr/>
        <w:tc>
          <w:tcPr>
            <w:tcW w:w="29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First Industrial, L.P.</w:t>
            </w:r>
          </w:p>
        </w:tc>
        <w:tc>
          <w:tcPr>
            <w:tcW w:w="23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333-21873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36-3924586</w:t>
            </w:r>
          </w:p>
        </w:tc>
      </w:tr>
      <w:tr>
        <w:trPr/>
        <w:tc>
          <w:tcPr>
            <w:tcW w:w="2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(State or other jurisdiction of</w:t>
              <w:br/>
              <w:t>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(Commission</w:t>
              <w:br/>
              <w:t>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(I.R.S. Employer</w:t>
              <w:br/>
              <w:t>Identification No.)</w:t>
            </w:r>
          </w:p>
        </w:tc>
      </w:tr>
    </w:tbl>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One North Wacker Drive, Suite 4200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Chicago, Illinois 60606 </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 xml:space="preserve">(Address of principal executive offices, zip code) </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(312) 344-4300 </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 xml:space="preserve">(Registrant’s telephone number, including area code) </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 Applicable</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(Former name or former address, if changed since last report)</w:t>
      </w:r>
    </w:p>
    <w:p>
      <w:pPr>
        <w:pStyle w:val="TextBody"/>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Check the appropriate box below if the Form 8-K filing is intended to simultaneously satisfy the filing obligation of the registrant under any of the following provisions (see General Instruction A.2. below): </w:t>
      </w:r>
    </w:p>
    <w:tbl>
      <w:tblPr>
        <w:tblW w:w="8442" w:type="dxa"/>
        <w:jc w:val="left"/>
        <w:tblInd w:w="0" w:type="dxa"/>
        <w:tblLayout w:type="fixed"/>
        <w:tblCellMar>
          <w:top w:w="28" w:type="dxa"/>
          <w:left w:w="28" w:type="dxa"/>
          <w:bottom w:w="28" w:type="dxa"/>
          <w:right w:w="28" w:type="dxa"/>
        </w:tblCellMar>
      </w:tblPr>
      <w:tblGrid>
        <w:gridCol w:w="124"/>
        <w:gridCol w:w="109"/>
        <w:gridCol w:w="109"/>
        <w:gridCol w:w="2369"/>
        <w:gridCol w:w="2369"/>
        <w:gridCol w:w="336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9" w:type="dxa"/>
            <w:tcBorders/>
            <w:vAlign w:val="center"/>
          </w:tcPr>
          <w:p>
            <w:pPr>
              <w:pStyle w:val="TableContents"/>
              <w:bidi w:val="0"/>
              <w:spacing w:before="0" w:after="283"/>
              <w:jc w:val="left"/>
              <w:rPr>
                <w:sz w:val="4"/>
                <w:szCs w:val="4"/>
              </w:rPr>
            </w:pPr>
            <w:r>
              <w:rPr>
                <w:sz w:val="4"/>
                <w:szCs w:val="4"/>
              </w:rPr>
            </w:r>
          </w:p>
        </w:tc>
        <w:tc>
          <w:tcPr>
            <w:tcW w:w="2369" w:type="dxa"/>
            <w:tcBorders/>
            <w:vAlign w:val="center"/>
          </w:tcPr>
          <w:p>
            <w:pPr>
              <w:pStyle w:val="TableContents"/>
              <w:bidi w:val="0"/>
              <w:spacing w:before="0" w:after="283"/>
              <w:jc w:val="left"/>
              <w:rPr>
                <w:sz w:val="4"/>
                <w:szCs w:val="4"/>
              </w:rPr>
            </w:pPr>
            <w:r>
              <w:rPr>
                <w:sz w:val="4"/>
                <w:szCs w:val="4"/>
              </w:rPr>
            </w:r>
          </w:p>
        </w:tc>
        <w:tc>
          <w:tcPr>
            <w:tcW w:w="336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81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81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81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81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Pre-commencement communications pursuant to Rule 13e-4(c) under the Exchange Act (17 CFR 240.13e-4(c))</w:t>
            </w:r>
          </w:p>
        </w:tc>
      </w:tr>
    </w:tbl>
    <w:p>
      <w:pPr>
        <w:pStyle w:val="TextBody"/>
        <w:bidi w:val="0"/>
        <w:spacing w:lineRule="auto" w:line="288" w:before="140" w:after="283"/>
        <w:jc w:val="left"/>
        <w:rPr>
          <w:rFonts w:ascii="Times New Roman;serif" w:hAnsi="Times New Roman;serif"/>
          <w:b w:val="false"/>
          <w:color w:val="000000"/>
          <w:sz w:val="18"/>
        </w:rPr>
      </w:pPr>
      <w:r>
        <w:rPr>
          <w:rFonts w:ascii="Times New Roman;serif" w:hAnsi="Times New Roman;serif"/>
          <w:b w:val="false"/>
          <w:color w:val="000000"/>
          <w:sz w:val="18"/>
        </w:rPr>
        <w:t>Securities registered pursuant to Section 12(b) of the Act:</w:t>
      </w:r>
    </w:p>
    <w:tbl>
      <w:tblPr>
        <w:tblW w:w="8947" w:type="dxa"/>
        <w:jc w:val="center"/>
        <w:tblInd w:w="0" w:type="dxa"/>
        <w:tblLayout w:type="fixed"/>
        <w:tblCellMar>
          <w:top w:w="28" w:type="dxa"/>
          <w:left w:w="28" w:type="dxa"/>
          <w:bottom w:w="28" w:type="dxa"/>
          <w:right w:w="28" w:type="dxa"/>
        </w:tblCellMar>
      </w:tblPr>
      <w:tblGrid>
        <w:gridCol w:w="1177"/>
        <w:gridCol w:w="1036"/>
        <w:gridCol w:w="1042"/>
        <w:gridCol w:w="109"/>
        <w:gridCol w:w="109"/>
        <w:gridCol w:w="109"/>
        <w:gridCol w:w="519"/>
        <w:gridCol w:w="519"/>
        <w:gridCol w:w="521"/>
        <w:gridCol w:w="109"/>
        <w:gridCol w:w="109"/>
        <w:gridCol w:w="109"/>
        <w:gridCol w:w="1019"/>
        <w:gridCol w:w="1019"/>
        <w:gridCol w:w="1441"/>
      </w:tblGrid>
      <w:tr>
        <w:trPr/>
        <w:tc>
          <w:tcPr>
            <w:tcW w:w="1177"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0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r>
      <w:tr>
        <w:trPr/>
        <w:tc>
          <w:tcPr>
            <w:tcW w:w="32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Name of each exchange on which registered</w:t>
            </w:r>
          </w:p>
        </w:tc>
      </w:tr>
      <w:tr>
        <w:trPr/>
        <w:tc>
          <w:tcPr>
            <w:tcW w:w="325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Common Stock, par value $.01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New York Stock Exchange</w:t>
            </w:r>
          </w:p>
        </w:tc>
      </w:tr>
    </w:tbl>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Emerging growth company ☐</w:t>
      </w:r>
    </w:p>
    <w:p>
      <w:pPr>
        <w:pStyle w:val="TextBody"/>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If an emerging growth company, indicate by check mark if the registrant has elected not to use the extended transition period for complying with any new or revised financial accounting standards provided pursuant to Section 13(a) of the Exchange Act.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jc w:val="both"/>
        <w:rPr/>
      </w:pPr>
      <w:r>
        <w:rPr>
          <w:rFonts w:ascii="Times New Roman;serif" w:hAnsi="Times New Roman;serif"/>
          <w:b/>
          <w:color w:val="000000"/>
          <w:sz w:val="20"/>
        </w:rPr>
        <w:t>Item 2.02. Results of Operations and Financial Condition</w:t>
      </w:r>
      <w:r>
        <w:rPr>
          <w:rFonts w:ascii="Times New Roman;serif" w:hAnsi="Times New Roman;serif"/>
          <w:b w:val="false"/>
          <w:color w:val="000000"/>
          <w:sz w:val="20"/>
        </w:rPr>
        <w:t>.</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On October 21, 2026, First Industrial Realty Trust, Inc. (the “Company”) issued a press release announcing its financial results for the fiscal quarter ended September 30, 2026 and certain other information. </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Attached and incorporated by reference as Exhibit 99.1 is a copy of the Company’s press release dated October 21, 2026, announcing its financial results for the fiscal quarter ended September 30, 2026 and certain other information.</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On October 22, 2026, the Company will hold an investor conference and webcast at 11:00 a.m. eastern time to disclose and discuss the financial results for the fiscal quarter ended September 30, 2026 and certain other information. </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information furnished in this report under this Item 2.02, including the Exhibit attached hereto, shall not be deemed “filed” for purposes of Section 18 of the Securities Exchange Act of 1934, nor shall it be deemed incorporated by reference in any filing under the Securities Act of 1933, except as shall be expressly set forth by specific reference to such filing.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lineRule="auto" w:line="288" w:before="0" w:after="240"/>
        <w:jc w:val="left"/>
        <w:rPr>
          <w:color w:val="000000"/>
        </w:rPr>
      </w:pPr>
      <w:r>
        <w:rPr>
          <w:color w:val="000000"/>
        </w:rPr>
        <w:t>    </w:t>
      </w:r>
      <w:r>
        <w:rPr>
          <w:rFonts w:ascii="Times New Roman;serif" w:hAnsi="Times New Roman;serif"/>
          <w:b w:val="false"/>
          <w:color w:val="000000"/>
          <w:sz w:val="20"/>
        </w:rPr>
        <w:t>(d) Exhibits. The following are filed herewith:</w:t>
      </w:r>
    </w:p>
    <w:tbl>
      <w:tblPr>
        <w:tblW w:w="9941" w:type="dxa"/>
        <w:jc w:val="left"/>
        <w:tblInd w:w="0" w:type="dxa"/>
        <w:tblLayout w:type="fixed"/>
        <w:tblCellMar>
          <w:top w:w="28" w:type="dxa"/>
          <w:left w:w="28" w:type="dxa"/>
          <w:bottom w:w="28" w:type="dxa"/>
          <w:right w:w="28" w:type="dxa"/>
        </w:tblCellMar>
      </w:tblPr>
      <w:tblGrid>
        <w:gridCol w:w="385"/>
        <w:gridCol w:w="338"/>
        <w:gridCol w:w="341"/>
        <w:gridCol w:w="109"/>
        <w:gridCol w:w="109"/>
        <w:gridCol w:w="109"/>
        <w:gridCol w:w="2504"/>
        <w:gridCol w:w="2504"/>
        <w:gridCol w:w="3542"/>
      </w:tblGrid>
      <w:tr>
        <w:trPr/>
        <w:tc>
          <w:tcPr>
            <w:tcW w:w="385"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4" w:type="dxa"/>
            <w:tcBorders/>
            <w:vAlign w:val="center"/>
          </w:tcPr>
          <w:p>
            <w:pPr>
              <w:pStyle w:val="TableContents"/>
              <w:bidi w:val="0"/>
              <w:spacing w:before="0" w:after="283"/>
              <w:jc w:val="left"/>
              <w:rPr>
                <w:sz w:val="4"/>
                <w:szCs w:val="4"/>
              </w:rPr>
            </w:pPr>
            <w:r>
              <w:rPr>
                <w:sz w:val="4"/>
                <w:szCs w:val="4"/>
              </w:rPr>
            </w:r>
          </w:p>
        </w:tc>
        <w:tc>
          <w:tcPr>
            <w:tcW w:w="2504" w:type="dxa"/>
            <w:tcBorders/>
            <w:vAlign w:val="center"/>
          </w:tcPr>
          <w:p>
            <w:pPr>
              <w:pStyle w:val="TableContents"/>
              <w:bidi w:val="0"/>
              <w:spacing w:before="0" w:after="283"/>
              <w:jc w:val="left"/>
              <w:rPr>
                <w:sz w:val="4"/>
                <w:szCs w:val="4"/>
              </w:rPr>
            </w:pPr>
            <w:r>
              <w:rPr>
                <w:sz w:val="4"/>
                <w:szCs w:val="4"/>
              </w:rPr>
            </w:r>
          </w:p>
        </w:tc>
        <w:tc>
          <w:tcPr>
            <w:tcW w:w="3542" w:type="dxa"/>
            <w:tcBorders/>
            <w:vAlign w:val="center"/>
          </w:tcPr>
          <w:p>
            <w:pPr>
              <w:pStyle w:val="TableContents"/>
              <w:bidi w:val="0"/>
              <w:spacing w:before="0" w:after="283"/>
              <w:jc w:val="left"/>
              <w:rPr>
                <w:sz w:val="4"/>
                <w:szCs w:val="4"/>
              </w:rPr>
            </w:pPr>
            <w:r>
              <w:rPr>
                <w:sz w:val="4"/>
                <w:szCs w:val="4"/>
              </w:rPr>
            </w:r>
          </w:p>
        </w:tc>
      </w:tr>
      <w:tr>
        <w:trPr/>
        <w:tc>
          <w:tcPr>
            <w:tcW w:w="10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Description</w:t>
            </w:r>
          </w:p>
        </w:tc>
      </w:tr>
      <w:tr>
        <w:trPr/>
        <w:tc>
          <w:tcPr>
            <w:tcW w:w="106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fr-2026930xex991.htm">
              <w:r>
                <w:rPr>
                  <w:rStyle w:val="InternetLink"/>
                  <w:rFonts w:ascii="Times New Roman;serif" w:hAnsi="Times New Roman;serif"/>
                  <w:b w:val="false"/>
                  <w:color w:val="0000FF"/>
                  <w:sz w:val="20"/>
                  <w:u w:val="single"/>
                </w:rPr>
                <w:t>99.1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fr-2026930xex991.htm">
              <w:r>
                <w:rPr>
                  <w:rStyle w:val="InternetLink"/>
                  <w:rFonts w:ascii="Times New Roman;serif" w:hAnsi="Times New Roman;serif"/>
                  <w:b w:val="false"/>
                  <w:color w:val="0000FF"/>
                  <w:sz w:val="20"/>
                  <w:u w:val="single"/>
                </w:rPr>
                <w:t>First Industrial Realty Trust, Inc. Press Release dated October 21, 2026 (furnished pursuant to Item 2.02)</w:t>
              </w:r>
            </w:hyperlink>
          </w:p>
        </w:tc>
      </w:tr>
      <w:tr>
        <w:trPr/>
        <w:tc>
          <w:tcPr>
            <w:tcW w:w="1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18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tbl>
      <w:tblPr>
        <w:tblW w:w="5247" w:type="dxa"/>
        <w:jc w:val="center"/>
        <w:tblInd w:w="0" w:type="dxa"/>
        <w:tblLayout w:type="fixed"/>
        <w:tblCellMar>
          <w:top w:w="28" w:type="dxa"/>
          <w:left w:w="28" w:type="dxa"/>
          <w:bottom w:w="28" w:type="dxa"/>
          <w:right w:w="28" w:type="dxa"/>
        </w:tblCellMar>
      </w:tblPr>
      <w:tblGrid>
        <w:gridCol w:w="124"/>
        <w:gridCol w:w="109"/>
        <w:gridCol w:w="109"/>
        <w:gridCol w:w="620"/>
        <w:gridCol w:w="620"/>
        <w:gridCol w:w="620"/>
        <w:gridCol w:w="887"/>
        <w:gridCol w:w="887"/>
        <w:gridCol w:w="127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127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5"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FIRST INDUSTRIAL REALTY TRUST, INC.</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0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JENNIFER MATTHEWS RICE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Jennifer Matthews Rice</w:t>
              <w:br/>
              <w:t>General Counsel</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Date: October 21, 2026</w:t>
      </w:r>
    </w:p>
    <w:tbl>
      <w:tblPr>
        <w:tblW w:w="5450" w:type="dxa"/>
        <w:jc w:val="center"/>
        <w:tblInd w:w="0" w:type="dxa"/>
        <w:tblLayout w:type="fixed"/>
        <w:tblCellMar>
          <w:top w:w="28" w:type="dxa"/>
          <w:left w:w="28" w:type="dxa"/>
          <w:bottom w:w="28" w:type="dxa"/>
          <w:right w:w="28" w:type="dxa"/>
        </w:tblCellMar>
      </w:tblPr>
      <w:tblGrid>
        <w:gridCol w:w="124"/>
        <w:gridCol w:w="109"/>
        <w:gridCol w:w="109"/>
        <w:gridCol w:w="373"/>
        <w:gridCol w:w="373"/>
        <w:gridCol w:w="373"/>
        <w:gridCol w:w="1160"/>
        <w:gridCol w:w="1160"/>
        <w:gridCol w:w="166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1160" w:type="dxa"/>
            <w:tcBorders/>
            <w:vAlign w:val="center"/>
          </w:tcPr>
          <w:p>
            <w:pPr>
              <w:pStyle w:val="TableContents"/>
              <w:bidi w:val="0"/>
              <w:spacing w:before="0" w:after="283"/>
              <w:jc w:val="left"/>
              <w:rPr>
                <w:sz w:val="4"/>
                <w:szCs w:val="4"/>
              </w:rPr>
            </w:pPr>
            <w:r>
              <w:rPr>
                <w:sz w:val="4"/>
                <w:szCs w:val="4"/>
              </w:rPr>
            </w:r>
          </w:p>
        </w:tc>
        <w:tc>
          <w:tcPr>
            <w:tcW w:w="1160" w:type="dxa"/>
            <w:tcBorders/>
            <w:vAlign w:val="center"/>
          </w:tcPr>
          <w:p>
            <w:pPr>
              <w:pStyle w:val="TableContents"/>
              <w:bidi w:val="0"/>
              <w:spacing w:before="0" w:after="283"/>
              <w:jc w:val="left"/>
              <w:rPr>
                <w:sz w:val="4"/>
                <w:szCs w:val="4"/>
              </w:rPr>
            </w:pPr>
            <w:r>
              <w:rPr>
                <w:sz w:val="4"/>
                <w:szCs w:val="4"/>
              </w:rPr>
            </w:r>
          </w:p>
        </w:tc>
        <w:tc>
          <w:tcPr>
            <w:tcW w:w="166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8"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FIRST INDUSTRIAL, L.P.</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9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FIRST INDUSTRIAL REALTY TRUST, INC.</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 general partner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9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JENNIFER MATTHEWS RICE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Jennifer Matthews Rice</w:t>
              <w:br/>
              <w:t>General Counsel</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jc w:val="left"/>
        <w:rPr>
          <w:rFonts w:ascii="Times New Roman;serif" w:hAnsi="Times New Roman;serif"/>
          <w:b w:val="false"/>
          <w:color w:val="000000"/>
          <w:sz w:val="20"/>
        </w:rPr>
      </w:pPr>
      <w:r>
        <w:rPr>
          <w:rFonts w:ascii="Times New Roman;serif" w:hAnsi="Times New Roman;serif"/>
          <w:b w:val="false"/>
          <w:color w:val="000000"/>
          <w:sz w:val="20"/>
        </w:rPr>
        <w:t>Date: October 21, 2026</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drawing>
          <wp:inline distT="0" distB="0" distL="0" distR="0">
            <wp:extent cx="4629150" cy="1371600"/>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4629150" cy="1371600"/>
                    </a:xfrm>
                    <a:prstGeom prst="rect">
                      <a:avLst/>
                    </a:prstGeom>
                  </pic:spPr>
                </pic:pic>
              </a:graphicData>
            </a:graphic>
          </wp:inline>
        </w:drawing>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 xml:space="preserve">FIRST INDUSTRIAL REALTY TRUST REPORTS </w:t>
      </w:r>
    </w:p>
    <w:p>
      <w:pPr>
        <w:pStyle w:val="TextBody"/>
        <w:bidi w:val="0"/>
        <w:spacing w:lineRule="auto" w:line="288" w:before="0" w:after="320"/>
        <w:jc w:val="center"/>
        <w:rPr>
          <w:rFonts w:ascii="Times New Roman;serif" w:hAnsi="Times New Roman;serif"/>
          <w:b/>
          <w:color w:val="000000"/>
          <w:sz w:val="32"/>
        </w:rPr>
      </w:pPr>
      <w:r>
        <w:rPr>
          <w:rFonts w:ascii="Times New Roman;serif" w:hAnsi="Times New Roman;serif"/>
          <w:b/>
          <w:color w:val="000000"/>
          <w:sz w:val="32"/>
        </w:rPr>
        <w:t>THIRD QUARTER 2026 RESULTS</w:t>
      </w:r>
    </w:p>
    <w:p>
      <w:pPr>
        <w:pStyle w:val="TextBody"/>
        <w:bidi w:val="0"/>
        <w:spacing w:lineRule="auto" w:line="276" w:before="0" w:after="0"/>
        <w:ind w:left="0" w:right="0" w:hanging="360"/>
        <w:jc w:val="both"/>
        <w:rPr/>
      </w:pPr>
      <w:r>
        <w:rPr>
          <w:color w:val="000000"/>
        </w:rPr>
        <w:t>•</w:t>
      </w:r>
      <w:r>
        <w:rPr>
          <w:rFonts w:ascii="Times New Roman;serif" w:hAnsi="Times New Roman;serif"/>
          <w:b w:val="false"/>
          <w:i/>
          <w:color w:val="000000"/>
          <w:sz w:val="24"/>
        </w:rPr>
        <w:t>Cash Rental Rates on New and Renewal Leasing Increased 52% in 3Q26</w:t>
      </w:r>
    </w:p>
    <w:p>
      <w:pPr>
        <w:pStyle w:val="TextBody"/>
        <w:bidi w:val="0"/>
        <w:spacing w:lineRule="auto" w:line="276" w:before="0" w:after="0"/>
        <w:ind w:left="0" w:right="0" w:hanging="360"/>
        <w:jc w:val="both"/>
        <w:rPr/>
      </w:pPr>
      <w:r>
        <w:rPr>
          <w:color w:val="000000"/>
        </w:rPr>
        <w:t>•</w:t>
      </w:r>
      <w:r>
        <w:rPr>
          <w:rFonts w:ascii="Times New Roman;serif" w:hAnsi="Times New Roman;serif"/>
          <w:b w:val="false"/>
          <w:i/>
          <w:color w:val="000000"/>
          <w:sz w:val="24"/>
        </w:rPr>
        <w:t>Cash Same Store NOI Growth of 5.6% in 3Q26</w:t>
      </w:r>
    </w:p>
    <w:p>
      <w:pPr>
        <w:pStyle w:val="TextBody"/>
        <w:bidi w:val="0"/>
        <w:spacing w:lineRule="auto" w:line="276" w:before="0" w:after="0"/>
        <w:ind w:left="0" w:right="0" w:hanging="360"/>
        <w:jc w:val="both"/>
        <w:rPr/>
      </w:pPr>
      <w:r>
        <w:rPr>
          <w:color w:val="000000"/>
        </w:rPr>
        <w:t>•</w:t>
      </w:r>
      <w:r>
        <w:rPr>
          <w:rFonts w:ascii="Times New Roman;serif" w:hAnsi="Times New Roman;serif"/>
          <w:b w:val="false"/>
          <w:i/>
          <w:color w:val="000000"/>
          <w:sz w:val="24"/>
        </w:rPr>
        <w:t>Acquired 100% Leased 764,000 SF Building in Central Pennsylvania for $120 Million in 3Q26</w:t>
      </w:r>
    </w:p>
    <w:p>
      <w:pPr>
        <w:pStyle w:val="TextBody"/>
        <w:bidi w:val="0"/>
        <w:spacing w:lineRule="auto" w:line="276" w:before="0" w:after="0"/>
        <w:ind w:left="0" w:right="0" w:hanging="360"/>
        <w:jc w:val="both"/>
        <w:rPr/>
      </w:pPr>
      <w:r>
        <w:rPr>
          <w:color w:val="000000"/>
        </w:rPr>
        <w:t>•</w:t>
      </w:r>
      <w:r>
        <w:rPr>
          <w:rFonts w:ascii="Times New Roman;serif" w:hAnsi="Times New Roman;serif"/>
          <w:b w:val="false"/>
          <w:i/>
          <w:color w:val="000000"/>
          <w:sz w:val="24"/>
        </w:rPr>
        <w:t>Signed Remaining 32,000 SF at First Park Miami Building 12 in South Florida in 3Q26</w:t>
      </w:r>
    </w:p>
    <w:p>
      <w:pPr>
        <w:pStyle w:val="TextBody"/>
        <w:bidi w:val="0"/>
        <w:spacing w:lineRule="auto" w:line="276" w:before="0" w:after="0"/>
        <w:ind w:left="0" w:right="0" w:hanging="360"/>
        <w:jc w:val="both"/>
        <w:rPr/>
      </w:pPr>
      <w:r>
        <w:rPr>
          <w:color w:val="000000"/>
        </w:rPr>
        <w:t>•</w:t>
      </w:r>
      <w:r>
        <w:rPr>
          <w:rFonts w:ascii="Times New Roman;serif" w:hAnsi="Times New Roman;serif"/>
          <w:b w:val="false"/>
          <w:i/>
          <w:color w:val="000000"/>
          <w:sz w:val="24"/>
        </w:rPr>
        <w:t>2026 FFO Guidance Increased $0.01 at the Midpoint</w:t>
      </w:r>
    </w:p>
    <w:p>
      <w:pPr>
        <w:pStyle w:val="TextBody"/>
        <w:bidi w:val="0"/>
        <w:spacing w:lineRule="auto" w:line="276" w:before="0" w:after="0"/>
        <w:ind w:left="0" w:right="0" w:hanging="360"/>
        <w:jc w:val="both"/>
        <w:rPr/>
      </w:pPr>
      <w:r>
        <w:rPr>
          <w:color w:val="000000"/>
        </w:rPr>
        <w:t>•</w:t>
      </w:r>
      <w:r>
        <w:rPr>
          <w:rFonts w:ascii="Times New Roman;serif" w:hAnsi="Times New Roman;serif"/>
          <w:b w:val="false"/>
          <w:i/>
          <w:color w:val="000000"/>
          <w:sz w:val="24"/>
        </w:rPr>
        <w:t>2026 Cash Same Store NOI Growth Guidance Increased 75 Basis Points at the Midpoint to 6.5%</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4"/>
        </w:rPr>
      </w:pPr>
      <w:r>
        <w:rPr>
          <w:rFonts w:ascii="Times New Roman;serif" w:hAnsi="Times New Roman;serif"/>
          <w:b w:val="false"/>
          <w:color w:val="000000"/>
          <w:sz w:val="24"/>
        </w:rPr>
        <w:t>CHICAGO, October 21, 2026 – First Industrial Realty Trust, Inc. (NYSE: FR), a leading fully integrated owner, operator and developer of logistics real estate, today announced results for the third quarter of 2026. First Industrial's diluted net income available to common stockholders per share (EPS) was $0.44 in the third quarter, compared to $0.49 a year ago and third quarter funds from operations (FFO) was $0.81 per share/unit on a diluted basis, compared to $0.76 per share/unit a year ago.</w:t>
      </w:r>
    </w:p>
    <w:p>
      <w:pPr>
        <w:pStyle w:val="TextBody"/>
        <w:bidi w:val="0"/>
        <w:spacing w:before="0" w:after="0"/>
        <w:jc w:val="left"/>
        <w:rPr/>
      </w:pPr>
      <w:r>
        <w:rPr/>
      </w:r>
    </w:p>
    <w:p>
      <w:pPr>
        <w:pStyle w:val="TextBody"/>
        <w:bidi w:val="0"/>
        <w:spacing w:lineRule="auto" w:line="276" w:before="0" w:after="0"/>
        <w:jc w:val="both"/>
        <w:rPr>
          <w:color w:val="000000"/>
        </w:rPr>
      </w:pPr>
      <w:r>
        <w:rPr>
          <w:color w:val="000000"/>
        </w:rPr>
        <w:t>“</w:t>
      </w:r>
      <w:r>
        <w:rPr>
          <w:rFonts w:ascii="Times New Roman;serif" w:hAnsi="Times New Roman;serif"/>
          <w:b w:val="false"/>
          <w:color w:val="000000"/>
          <w:sz w:val="24"/>
        </w:rPr>
        <w:t>Industrial real estate market fundamentals continued to improve in the third quarter, with strong net absorption reflecting the breadth of tenant demand in the marketplace,” said Peter E. Baccile, First Industrial's president and chief executive officer. “We experienced a strong pace of early renewals from our tenants for our 2027 expirations and we are excited about our levels of overall prospect activity.”</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4"/>
          <w:u w:val="single"/>
        </w:rPr>
      </w:pPr>
      <w:r>
        <w:rPr>
          <w:rFonts w:ascii="Times New Roman;serif" w:hAnsi="Times New Roman;serif"/>
          <w:b/>
          <w:color w:val="000000"/>
          <w:sz w:val="24"/>
          <w:u w:val="single"/>
        </w:rPr>
        <w:t>Portfolio Performance</w:t>
      </w:r>
    </w:p>
    <w:p>
      <w:pPr>
        <w:pStyle w:val="TextBody"/>
        <w:bidi w:val="0"/>
        <w:spacing w:before="0" w:after="0"/>
        <w:jc w:val="left"/>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4"/>
        </w:rPr>
        <w:t>In service occupancy was 94.1% at the end of the third quarter of 2026, compared to 94.9% at the end of the second quarter of 2026, and 94.0% at the end of the third quarter of 2025.</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4"/>
        </w:rPr>
        <w:t>In the third quarter, cash rental rates on commenced new and renewal leases increased 52% and increased 76% on a straight-line basis.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4"/>
        </w:rPr>
        <w:t>The Company has achieved a cash rental rate increase of approximately 38% on leases signed to date commencing in 2026 reflecting 94% of 2026 expirations by square footage.</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4"/>
        </w:rPr>
        <w:t>The Company has achieved a cash rental rate increase of approximately 16% on leases signed to date commencing in 2027 reflecting 45% of 2027 expirations by square footage.</w:t>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4"/>
        </w:rPr>
        <w:t>In the third quarter, cash basis same store net operating income before termination fees (“SS NOI”) increased 5.6%, primarily reflecting increases in rental rates on new and renewal leasing and contractual rent escalations, partially offset by lower average occupancy.</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color w:val="000000"/>
          <w:sz w:val="24"/>
          <w:u w:val="single"/>
        </w:rPr>
      </w:pPr>
      <w:r>
        <w:rPr>
          <w:rFonts w:ascii="Times New Roman;serif" w:hAnsi="Times New Roman;serif"/>
          <w:b/>
          <w:color w:val="000000"/>
          <w:sz w:val="24"/>
          <w:u w:val="single"/>
        </w:rPr>
        <w:t>Development Leasing Highlights</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24"/>
        </w:rPr>
      </w:pPr>
      <w:r>
        <w:rPr>
          <w:rFonts w:ascii="Times New Roman;serif" w:hAnsi="Times New Roman;serif"/>
          <w:b w:val="false"/>
          <w:color w:val="000000"/>
          <w:sz w:val="24"/>
        </w:rPr>
        <w:t>During the third quarter, the Company:</w:t>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4"/>
        </w:rPr>
        <w:t>Leased the remaining 32,000 square feet of its 136,000 square-foot First Park Miami Building 12 in South Florida; commenced in the third quarter.</w:t>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4"/>
                              </w:rPr>
                            </w:pPr>
                            <w:r>
                              <w:rPr>
                                <w:rFonts w:ascii="Times New Roman;serif" w:hAnsi="Times New Roman;serif"/>
                                <w:b w:val="false"/>
                                <w:color w:val="000000"/>
                                <w:sz w:val="24"/>
                              </w:rPr>
                              <w:t>&lt; more &gt;</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4"/>
                        </w:rPr>
                      </w:pPr>
                      <w:r>
                        <w:rPr>
                          <w:rFonts w:ascii="Times New Roman;serif" w:hAnsi="Times New Roman;serif"/>
                          <w:b w:val="false"/>
                          <w:color w:val="000000"/>
                          <w:sz w:val="24"/>
                        </w:rPr>
                        <w:t>&lt; more &gt;</w:t>
                      </w:r>
                    </w:p>
                  </w:txbxContent>
                </v:textbox>
                <w10:wrap type="none"/>
              </v:rect>
            </w:pict>
          </mc:Fallback>
        </mc:AlternateContent>
      </w:r>
    </w:p>
    <w:p>
      <w:pPr>
        <w:pStyle w:val="TextBody"/>
        <w:bidi w:val="0"/>
        <w:spacing w:lineRule="auto" w:line="276" w:before="0" w:after="0"/>
        <w:jc w:val="left"/>
        <w:rPr>
          <w:rFonts w:ascii="Times New Roman;serif" w:hAnsi="Times New Roman;serif"/>
          <w:b/>
          <w:color w:val="000000"/>
          <w:sz w:val="24"/>
          <w:u w:val="single"/>
        </w:rPr>
      </w:pPr>
      <w:r>
        <w:rPr>
          <w:rFonts w:ascii="Times New Roman;serif" w:hAnsi="Times New Roman;serif"/>
          <w:b/>
          <w:color w:val="000000"/>
          <w:sz w:val="24"/>
          <w:u w:val="single"/>
        </w:rPr>
        <w:t>Investment Highlights</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24"/>
        </w:rPr>
      </w:pPr>
      <w:r>
        <w:rPr>
          <w:rFonts w:ascii="Times New Roman;serif" w:hAnsi="Times New Roman;serif"/>
          <w:b w:val="false"/>
          <w:color w:val="000000"/>
          <w:sz w:val="24"/>
        </w:rPr>
        <w:t>During the third quarter, the Company:</w:t>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4"/>
        </w:rPr>
        <w:t>Acquired a fully leased 764,000 square-foot building in Central Pennsylvania for $120 million.</w:t>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4"/>
        </w:rPr>
        <w:t>Acquired a 32-acre land site in Dallas for $13 million for a two-building project developable to 390,000 square feet.</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color w:val="000000"/>
          <w:sz w:val="24"/>
          <w:u w:val="single"/>
        </w:rPr>
      </w:pPr>
      <w:r>
        <w:rPr>
          <w:rFonts w:ascii="Times New Roman;serif" w:hAnsi="Times New Roman;serif"/>
          <w:b/>
          <w:color w:val="000000"/>
          <w:sz w:val="24"/>
          <w:u w:val="single"/>
        </w:rPr>
        <w:t>Outlook for 2026</w:t>
      </w:r>
    </w:p>
    <w:p>
      <w:pPr>
        <w:pStyle w:val="TextBody"/>
        <w:bidi w:val="0"/>
        <w:spacing w:before="0" w:after="0"/>
        <w:jc w:val="both"/>
        <w:rPr/>
      </w:pPr>
      <w:r>
        <w:rPr/>
      </w:r>
    </w:p>
    <w:p>
      <w:pPr>
        <w:pStyle w:val="TextBody"/>
        <w:bidi w:val="0"/>
        <w:spacing w:lineRule="auto" w:line="268" w:before="0" w:after="0"/>
        <w:jc w:val="both"/>
        <w:rPr>
          <w:color w:val="000000"/>
        </w:rPr>
      </w:pPr>
      <w:r>
        <w:rPr>
          <w:color w:val="000000"/>
        </w:rPr>
        <w:t>“</w:t>
      </w:r>
      <w:r>
        <w:rPr>
          <w:rFonts w:ascii="Times New Roman;serif" w:hAnsi="Times New Roman;serif"/>
          <w:b w:val="false"/>
          <w:color w:val="000000"/>
          <w:sz w:val="24"/>
        </w:rPr>
        <w:t>We increased our guidance by $0.01 at the midpoint based on our third quarter performance and outlook. As always, our team is laser-focused on leasing and serving our current and new customers to drive future cash flow growth,” said Mr. Baccile.</w:t>
      </w:r>
    </w:p>
    <w:tbl>
      <w:tblPr>
        <w:tblW w:w="10205" w:type="dxa"/>
        <w:jc w:val="center"/>
        <w:tblInd w:w="0" w:type="dxa"/>
        <w:tblLayout w:type="fixed"/>
        <w:tblCellMar>
          <w:top w:w="28" w:type="dxa"/>
          <w:left w:w="28" w:type="dxa"/>
          <w:bottom w:w="28" w:type="dxa"/>
          <w:right w:w="28" w:type="dxa"/>
        </w:tblCellMar>
      </w:tblPr>
      <w:tblGrid>
        <w:gridCol w:w="2500"/>
        <w:gridCol w:w="2189"/>
        <w:gridCol w:w="2201"/>
        <w:gridCol w:w="109"/>
        <w:gridCol w:w="109"/>
        <w:gridCol w:w="109"/>
        <w:gridCol w:w="332"/>
        <w:gridCol w:w="803"/>
        <w:gridCol w:w="171"/>
        <w:gridCol w:w="109"/>
        <w:gridCol w:w="109"/>
        <w:gridCol w:w="109"/>
        <w:gridCol w:w="324"/>
        <w:gridCol w:w="789"/>
        <w:gridCol w:w="242"/>
      </w:tblGrid>
      <w:tr>
        <w:trPr/>
        <w:tc>
          <w:tcPr>
            <w:tcW w:w="2500" w:type="dxa"/>
            <w:tcBorders/>
            <w:vAlign w:val="center"/>
          </w:tcPr>
          <w:p>
            <w:pPr>
              <w:pStyle w:val="TableContents"/>
              <w:bidi w:val="0"/>
              <w:spacing w:before="0" w:after="283"/>
              <w:jc w:val="left"/>
              <w:rPr>
                <w:sz w:val="4"/>
                <w:szCs w:val="4"/>
              </w:rPr>
            </w:pPr>
            <w:r>
              <w:rPr>
                <w:sz w:val="4"/>
                <w:szCs w:val="4"/>
              </w:rPr>
            </w:r>
          </w:p>
        </w:tc>
        <w:tc>
          <w:tcPr>
            <w:tcW w:w="2189" w:type="dxa"/>
            <w:tcBorders/>
            <w:vAlign w:val="center"/>
          </w:tcPr>
          <w:p>
            <w:pPr>
              <w:pStyle w:val="TableContents"/>
              <w:bidi w:val="0"/>
              <w:spacing w:before="0" w:after="283"/>
              <w:jc w:val="left"/>
              <w:rPr>
                <w:sz w:val="4"/>
                <w:szCs w:val="4"/>
              </w:rPr>
            </w:pPr>
            <w:r>
              <w:rPr>
                <w:sz w:val="4"/>
                <w:szCs w:val="4"/>
              </w:rPr>
            </w:r>
          </w:p>
        </w:tc>
        <w:tc>
          <w:tcPr>
            <w:tcW w:w="22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r>
      <w:tr>
        <w:trPr/>
        <w:tc>
          <w:tcPr>
            <w:tcW w:w="68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Low End of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High End of</w:t>
            </w:r>
          </w:p>
        </w:tc>
      </w:tr>
      <w:tr>
        <w:trPr/>
        <w:tc>
          <w:tcPr>
            <w:tcW w:w="68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Guidance for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Guidance for 2026</w:t>
            </w:r>
          </w:p>
        </w:tc>
      </w:tr>
      <w:tr>
        <w:trPr/>
        <w:tc>
          <w:tcPr>
            <w:tcW w:w="68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(Per share/unit)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(Per share/unit)</w:t>
            </w:r>
          </w:p>
        </w:tc>
      </w:tr>
      <w:tr>
        <w:trPr/>
        <w:tc>
          <w:tcPr>
            <w:tcW w:w="68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Net Income Available to Common Stockholders and Unitholders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2.51 </w:t>
            </w:r>
          </w:p>
        </w:tc>
        <w:tc>
          <w:tcPr>
            <w:tcW w:w="1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2.55 </w:t>
            </w:r>
          </w:p>
        </w:tc>
        <w:tc>
          <w:tcPr>
            <w:tcW w:w="24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Add: Depreciation and Other Amortization of Real Estate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Less: Gain on Sale of Real Estate, Net of Allocable Income Tax Provision, Through October 21,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(0.90)</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(0.90)</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NAREIT Funds From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Add: Advisory Costs Related to a Contested Proxy Campaign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0.04 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0.04 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FFO Before Advisory Costs Related to a Contested Proxy Campaign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3"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3.15 </w:t>
            </w:r>
          </w:p>
        </w:tc>
        <w:tc>
          <w:tcPr>
            <w:tcW w:w="171"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9"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3.19 </w:t>
            </w:r>
          </w:p>
        </w:tc>
        <w:tc>
          <w:tcPr>
            <w:tcW w:w="242"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4"/>
        </w:rPr>
      </w:pPr>
      <w:r>
        <w:rPr>
          <w:rFonts w:ascii="Times New Roman;serif" w:hAnsi="Times New Roman;serif"/>
          <w:b w:val="false"/>
          <w:color w:val="000000"/>
          <w:sz w:val="24"/>
        </w:rPr>
        <w:t>The following assumptions were used for guidance:</w:t>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4"/>
        </w:rPr>
        <w:t>In service occupancy at year-end fourth quarter of 94.5% to 96.5%. This implies a full-year quarter-end average in service occupancy of 94.5% to 95.0%, an increase of 25 basis points at the midpoint. The guidance assumes 650,000 square feet of additional development leasing in December 2026.</w:t>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4"/>
        </w:rPr>
        <w:t>Fourth quarter SS NOI growth on a cash basis before termination fees of 4.0% to 6.0%. This implies SS NOI growth for the full year 2026 of 6.25% to 6.75%, an increase of 75 basis points at the midpoint.</w:t>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4"/>
        </w:rPr>
        <w:t xml:space="preserve">Includes the incremental costs expected in 2026 related to the Company’s completed and under construction developments as of September 30, 2026. In total, the Company expects to capitalize $0.08 per share of interest in 2026. </w:t>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4"/>
        </w:rPr>
        <w:t xml:space="preserve">General and administrative expense of $42.0 million to $43.0 million. This range excludes $5.6 million of costs related to a contested proxy campaign recognized in the first quarter. </w:t>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4"/>
        </w:rPr>
        <w:t xml:space="preserve">Guidance does not include the impact of any future investments, property sales, debt repurchases prior to maturity, debt issuances, equity issuances, or stock repurchases post the date of this press release. </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color w:val="000000"/>
          <w:sz w:val="24"/>
          <w:u w:val="single"/>
        </w:rPr>
      </w:pPr>
      <w:r>
        <w:rPr>
          <w:rFonts w:ascii="Times New Roman;serif" w:hAnsi="Times New Roman;serif"/>
          <w:b/>
          <w:color w:val="000000"/>
          <w:sz w:val="24"/>
          <w:u w:val="single"/>
        </w:rPr>
        <w:t>Conference Call</w:t>
      </w:r>
    </w:p>
    <w:p>
      <w:pPr>
        <w:pStyle w:val="TextBody"/>
        <w:bidi w:val="0"/>
        <w:spacing w:before="0" w:after="0"/>
        <w:jc w:val="left"/>
        <w:rPr/>
      </w:pPr>
      <w:r>
        <w:rPr/>
      </w:r>
    </w:p>
    <w:p>
      <w:pPr>
        <w:pStyle w:val="TextBody"/>
        <w:bidi w:val="0"/>
        <w:spacing w:lineRule="auto" w:line="276" w:before="0" w:after="0"/>
        <w:jc w:val="both"/>
        <w:rPr>
          <w:rFonts w:ascii="Times New Roman;serif" w:hAnsi="Times New Roman;serif"/>
          <w:b w:val="false"/>
          <w:color w:val="000000"/>
          <w:sz w:val="24"/>
        </w:rPr>
      </w:pPr>
      <w:r>
        <w:rPr>
          <w:rFonts w:ascii="Times New Roman;serif" w:hAnsi="Times New Roman;serif"/>
          <w:b w:val="false"/>
          <w:color w:val="000000"/>
          <w:sz w:val="24"/>
        </w:rPr>
        <w:t>First Industrial will host its quarterly conference call on Thursday, October 22, 2026 at 10:00 a.m. CDT (11:00 a.m. EDT). The conference call may be accessed by dialing (833) 890-3273, passcode “First Industrial”. The conference call will also be webcast live on the Investors page of the Company’s website at www.firstindustrial.com. The replay will also be available on the website.</w:t>
      </w:r>
    </w:p>
    <w:p>
      <w:pPr>
        <w:pStyle w:val="TextBody"/>
        <w:bidi w:val="0"/>
        <w:spacing w:before="0" w:after="0"/>
        <w:jc w:val="left"/>
        <w:rPr/>
      </w:pPr>
      <w:r>
        <w:rPr/>
      </w:r>
    </w:p>
    <w:p>
      <w:pPr>
        <w:pStyle w:val="TextBody"/>
        <w:bidi w:val="0"/>
        <w:spacing w:lineRule="auto" w:line="276"/>
        <w:jc w:val="both"/>
        <w:rPr>
          <w:rFonts w:ascii="Times New Roman;serif" w:hAnsi="Times New Roman;serif"/>
          <w:b w:val="false"/>
          <w:color w:val="000000"/>
          <w:sz w:val="24"/>
        </w:rPr>
      </w:pPr>
      <w:r>
        <w:rPr>
          <w:rFonts w:ascii="Times New Roman;serif" w:hAnsi="Times New Roman;serif"/>
          <w:b w:val="false"/>
          <w:color w:val="000000"/>
          <w:sz w:val="24"/>
        </w:rPr>
        <w:t>The Company’s third quarter 2026 supplemental information can be viewed at www.firstindustrial.com under the “Investors” tab.</w:t>
      </w: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6"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4"/>
                              </w:rPr>
                            </w:pPr>
                            <w:r>
                              <w:rPr>
                                <w:rFonts w:ascii="Times New Roman;serif" w:hAnsi="Times New Roman;serif"/>
                                <w:b w:val="false"/>
                                <w:color w:val="000000"/>
                                <w:sz w:val="24"/>
                              </w:rPr>
                              <w:t>&lt; more &gt;</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4"/>
                        </w:rPr>
                      </w:pPr>
                      <w:r>
                        <w:rPr>
                          <w:rFonts w:ascii="Times New Roman;serif" w:hAnsi="Times New Roman;serif"/>
                          <w:b w:val="false"/>
                          <w:color w:val="000000"/>
                          <w:sz w:val="24"/>
                        </w:rPr>
                        <w:t>&lt; more &gt;</w:t>
                      </w:r>
                    </w:p>
                  </w:txbxContent>
                </v:textbox>
                <w10:wrap type="none"/>
              </v:rect>
            </w:pict>
          </mc:Fallback>
        </mc:AlternateContent>
      </w:r>
    </w:p>
    <w:p>
      <w:pPr>
        <w:pStyle w:val="TextBody"/>
        <w:bidi w:val="0"/>
        <w:spacing w:lineRule="auto" w:line="276" w:before="0" w:after="0"/>
        <w:jc w:val="both"/>
        <w:rPr>
          <w:rFonts w:ascii="Times New Roman;serif" w:hAnsi="Times New Roman;serif"/>
          <w:b/>
          <w:color w:val="000000"/>
          <w:sz w:val="24"/>
          <w:u w:val="single"/>
        </w:rPr>
      </w:pPr>
      <w:r>
        <w:rPr>
          <w:rFonts w:ascii="Times New Roman;serif" w:hAnsi="Times New Roman;serif"/>
          <w:b/>
          <w:color w:val="000000"/>
          <w:sz w:val="24"/>
          <w:u w:val="single"/>
        </w:rPr>
        <w:t>FFO Definition</w:t>
      </w:r>
    </w:p>
    <w:p>
      <w:pPr>
        <w:pStyle w:val="TextBody"/>
        <w:bidi w:val="0"/>
        <w:spacing w:before="0" w:after="0"/>
        <w:jc w:val="left"/>
        <w:rPr/>
      </w:pPr>
      <w:r>
        <w:rPr/>
      </w:r>
    </w:p>
    <w:p>
      <w:pPr>
        <w:pStyle w:val="TextBody"/>
        <w:bidi w:val="0"/>
        <w:spacing w:lineRule="auto" w:line="276" w:before="0" w:after="0"/>
        <w:jc w:val="both"/>
        <w:rPr>
          <w:rFonts w:ascii="Times New Roman;serif" w:hAnsi="Times New Roman;serif"/>
          <w:b w:val="false"/>
          <w:color w:val="000000"/>
          <w:sz w:val="24"/>
        </w:rPr>
      </w:pPr>
      <w:r>
        <w:rPr>
          <w:rFonts w:ascii="Times New Roman;serif" w:hAnsi="Times New Roman;serif"/>
          <w:b w:val="false"/>
          <w:color w:val="000000"/>
          <w:sz w:val="24"/>
        </w:rPr>
        <w:t xml:space="preserve">First Industrial calculates FFO to be equal to net income available to common stockholders, unitholders and participating securities, plus depreciation and other amortization of real estate, plus impairment of real estate, minus gain (or plus loss) on sale of real estate, adjusted for any associated income tax provisions or benefits. Similar adjustments are made for our share of net income from an unconsolidated joint venture. This calculation methodology is in accordance with the NAREIT definition of FFO. </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color w:val="000000"/>
          <w:sz w:val="24"/>
          <w:u w:val="single"/>
        </w:rPr>
      </w:pPr>
      <w:r>
        <w:rPr>
          <w:rFonts w:ascii="Times New Roman;serif" w:hAnsi="Times New Roman;serif"/>
          <w:b/>
          <w:color w:val="000000"/>
          <w:sz w:val="24"/>
          <w:u w:val="single"/>
        </w:rPr>
        <w:t>About First Industrial Realty Trust, Inc.</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4"/>
        </w:rPr>
      </w:pPr>
      <w:r>
        <w:rPr>
          <w:rFonts w:ascii="Times New Roman;serif" w:hAnsi="Times New Roman;serif"/>
          <w:b w:val="false"/>
          <w:color w:val="000000"/>
          <w:sz w:val="24"/>
        </w:rPr>
        <w:t>First Industrial Realty Trust, Inc. (NYSE: FR) is a leading U.S.-only owner, operator, developer and acquirer of logistics properties. Through our fully integrated operating and investing platform, we provide high quality facilities and industry-leading customer service to multinational corporations and regional firms that are essential for their supply chains. In total, we own and have under development approximately 72.9 million square feet of industrial space concentrated in 15 target MSAs as of September 30, 2026. For more information, please visit us at www.firstindustrial.com.</w:t>
      </w:r>
    </w:p>
    <w:p>
      <w:pPr>
        <w:pStyle w:val="TextBody"/>
        <w:bidi w:val="0"/>
        <w:spacing w:before="0" w:after="0"/>
        <w:jc w:val="both"/>
        <w:rPr/>
      </w:pPr>
      <w:r>
        <w:rPr/>
      </w:r>
    </w:p>
    <w:p>
      <w:pPr>
        <w:pStyle w:val="TextBody"/>
        <w:bidi w:val="0"/>
        <w:spacing w:lineRule="auto" w:line="276" w:before="0" w:after="0"/>
        <w:jc w:val="left"/>
        <w:rPr>
          <w:rFonts w:ascii="Times New Roman;serif" w:hAnsi="Times New Roman;serif"/>
          <w:b/>
          <w:color w:val="333333"/>
          <w:sz w:val="24"/>
          <w:u w:val="single"/>
        </w:rPr>
      </w:pPr>
      <w:r>
        <w:rPr>
          <w:rFonts w:ascii="Times New Roman;serif" w:hAnsi="Times New Roman;serif"/>
          <w:b/>
          <w:color w:val="333333"/>
          <w:sz w:val="24"/>
          <w:u w:val="single"/>
        </w:rPr>
        <w:t>Forward-Looking Statements</w:t>
      </w:r>
    </w:p>
    <w:p>
      <w:pPr>
        <w:pStyle w:val="TextBody"/>
        <w:bidi w:val="0"/>
        <w:spacing w:before="0" w:after="0"/>
        <w:jc w:val="left"/>
        <w:rPr/>
      </w:pPr>
      <w:r>
        <w:rPr/>
      </w:r>
    </w:p>
    <w:p>
      <w:pPr>
        <w:pStyle w:val="TextBody"/>
        <w:bidi w:val="0"/>
        <w:spacing w:lineRule="auto" w:line="343"/>
        <w:jc w:val="both"/>
        <w:rPr>
          <w:rFonts w:ascii="Times New Roman;serif" w:hAnsi="Times New Roman;serif"/>
          <w:b w:val="false"/>
          <w:i/>
          <w:color w:val="000000"/>
          <w:sz w:val="24"/>
        </w:rPr>
      </w:pPr>
      <w:r>
        <w:rPr>
          <w:rFonts w:ascii="Times New Roman;serif" w:hAnsi="Times New Roman;serif"/>
          <w:b w:val="false"/>
          <w:i/>
          <w:color w:val="000000"/>
          <w:sz w:val="24"/>
        </w:rPr>
        <w:t xml:space="preserve">This press release and the presentation to which it refers may contain forward-looking statements within the meaning of Section 27A of the Securities Act of 1933, and Section 21E of the Securities Exchange Act of 1934 (the "Exchange Act"). We intend for such forward-looking statements to be covered by the safe harbor provisions for forward-looking statements contained in the Private Securities Litigation Reform Act of 1995. Forward-looking statements are based on certain assumptions and describe our future plans, strategies and expectations, and are generally identifiable by use of the words "believe," "expect," "plan," "intend," "anticipate," "estimate," "project," "seek," "target," "potential," "focus," "may," "will," "should" or similar words. Although we believe the expectations reflected in forward-looking statements are based upon reasonable assumptions, we can give no assurance that our expectations will be attained or that results will not materially differ. Factors that could have a materially adverse effect on our operations and future prospects include, but are not limited to: changes in national, international, regional and local economic conditions generally and real estate markets specifically, including impacts and uncertainties arising from trade disputes and tariffs on goods imported to or exported from the United States; changes in legislation/regulation (including laws governing the taxation of real estate investment trusts) and actions of regulatory authorities; our ability to qualify and maintain our status as a real estate investment trust; the availability, cost and attractiveness of financing (including both public and private capital), increases in or prolonged periods of elevated interest rates, and our ability to raise equity capital on attractive terms; the availability and attractiveness of terms of debt repurchases; our ability to retain our credit agency ratings; our ability to comply with applicable financial covenants; changes in the competitive environment in which we operate, including changes in supply, demand and valuation of industrial properties and land in our current and potential markets; our ability to identify, acquire, develop and/or manage properties on favorable terms; our ability to dispose of properties on favorable terms; our ability to successfully integrate acquired properties; potential liability relating to environmental matters; defaults on or non-renewal of leases by our tenants; decreases in rental rates or increases in vacancy rates; higher-than-expected real estate construction costs and delays in development or lease-up timelines; uncertainty and economic impacts of pandemics, epidemics or other public health emergencies or fear of such events; risks associated with cybersecurity breaches, cyberattacks, intrusions </w:t>
      </w:r>
    </w:p>
    <w:p>
      <w:pPr>
        <w:pStyle w:val="TextBody"/>
        <w:bidi w:val="0"/>
        <w:spacing w:before="0" w:after="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7"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4"/>
                              </w:rPr>
                            </w:pPr>
                            <w:r>
                              <w:rPr>
                                <w:rFonts w:ascii="Times New Roman;serif" w:hAnsi="Times New Roman;serif"/>
                                <w:b w:val="false"/>
                                <w:color w:val="000000"/>
                                <w:sz w:val="24"/>
                              </w:rPr>
                              <w:t>&lt; more &gt;</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4"/>
                        </w:rPr>
                      </w:pPr>
                      <w:r>
                        <w:rPr>
                          <w:rFonts w:ascii="Times New Roman;serif" w:hAnsi="Times New Roman;serif"/>
                          <w:b w:val="false"/>
                          <w:color w:val="000000"/>
                          <w:sz w:val="24"/>
                        </w:rPr>
                        <w:t>&lt; more &gt;</w:t>
                      </w:r>
                    </w:p>
                  </w:txbxContent>
                </v:textbox>
                <w10:wrap type="none"/>
              </v:rect>
            </w:pict>
          </mc:Fallback>
        </mc:AlternateContent>
      </w:r>
    </w:p>
    <w:p>
      <w:pPr>
        <w:pStyle w:val="TextBody"/>
        <w:bidi w:val="0"/>
        <w:spacing w:lineRule="auto" w:line="343" w:before="0" w:after="0"/>
        <w:jc w:val="both"/>
        <w:rPr>
          <w:rFonts w:ascii="Times New Roman;serif" w:hAnsi="Times New Roman;serif"/>
          <w:b w:val="false"/>
          <w:i/>
          <w:color w:val="000000"/>
          <w:sz w:val="24"/>
        </w:rPr>
      </w:pPr>
      <w:r>
        <w:rPr>
          <w:rFonts w:ascii="Times New Roman;serif" w:hAnsi="Times New Roman;serif"/>
          <w:b w:val="false"/>
          <w:i/>
          <w:color w:val="000000"/>
          <w:sz w:val="24"/>
        </w:rPr>
        <w:t>or other significant disruptions of our information technology networks or systems; potential natural disasters and other catastrophic events, including acts of war or terrorism; insufficient or unavailable insurance coverage; technological developments, particularly those affecting supply chains and logistics; litigation risks, including costs associated with prosecuting or defending claims and potential adverse outcomes; risks associated with our investments in joint ventures, including our lack of sole decision-making authority; and other risks and uncertainties described in Item A, "Risk Factors" and elsewhere in our annual report, on Form 10-K for the year ended December 31, 2025, as well as those risks and uncertainties discussed from time to time in our other Exchange Act reports and public filings with the Securities and Exchange Commission (the “SEC”). We caution you not to place undue reliance on forward-looking statements, which reflect our outlook only and speak only as of the date of this press release or the dates indicated in the statements. We assume no obligation to update or supplement forward-looking statements except as may be required by law. For further information on these and other factors that could impact us and the statements contained herein, reference should be made to our filings with the SEC.</w:t>
      </w:r>
    </w:p>
    <w:p>
      <w:pPr>
        <w:pStyle w:val="TextBody"/>
        <w:bidi w:val="0"/>
        <w:spacing w:before="0" w:after="0"/>
        <w:jc w:val="both"/>
        <w:rPr/>
      </w:pPr>
      <w:r>
        <w:rPr/>
      </w:r>
    </w:p>
    <w:p>
      <w:pPr>
        <w:pStyle w:val="TextBody"/>
        <w:bidi w:val="0"/>
        <w:spacing w:lineRule="auto" w:line="276" w:before="0" w:after="0"/>
        <w:jc w:val="center"/>
        <w:rPr/>
      </w:pPr>
      <w:r>
        <w:rPr>
          <w:rFonts w:ascii="Times New Roman;serif" w:hAnsi="Times New Roman;serif"/>
          <w:b w:val="false"/>
          <w:color w:val="000000"/>
          <w:sz w:val="22"/>
        </w:rPr>
        <w:t xml:space="preserve">A </w:t>
      </w:r>
      <w:r>
        <w:rPr>
          <w:rFonts w:ascii="Times New Roman;serif" w:hAnsi="Times New Roman;serif"/>
          <w:b w:val="false"/>
          <w:color w:val="000000"/>
          <w:sz w:val="24"/>
        </w:rPr>
        <w:t>schedule of selected financial information is attached.</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24"/>
        </w:rPr>
      </w:pPr>
      <w:r>
        <w:rPr>
          <w:rFonts w:ascii="Times New Roman;serif" w:hAnsi="Times New Roman;serif"/>
          <w:b w:val="false"/>
          <w:color w:val="000000"/>
          <w:sz w:val="24"/>
        </w:rPr>
        <w:t>Contact: Art Harmon</w:t>
      </w:r>
    </w:p>
    <w:p>
      <w:pPr>
        <w:pStyle w:val="TextBody"/>
        <w:bidi w:val="0"/>
        <w:spacing w:lineRule="auto" w:line="276" w:before="0" w:after="0"/>
        <w:jc w:val="left"/>
        <w:rPr>
          <w:rFonts w:ascii="Times New Roman;serif" w:hAnsi="Times New Roman;serif"/>
          <w:b w:val="false"/>
          <w:color w:val="000000"/>
          <w:sz w:val="24"/>
        </w:rPr>
      </w:pPr>
      <w:r>
        <w:rPr>
          <w:rFonts w:ascii="Times New Roman;serif" w:hAnsi="Times New Roman;serif"/>
          <w:b w:val="false"/>
          <w:color w:val="000000"/>
          <w:sz w:val="24"/>
        </w:rPr>
        <w:t>Senior Vice President, Investor Relations and Marketing</w:t>
      </w:r>
    </w:p>
    <w:p>
      <w:pPr>
        <w:pStyle w:val="TextBody"/>
        <w:bidi w:val="0"/>
        <w:spacing w:lineRule="auto" w:line="276" w:before="0" w:after="0"/>
        <w:jc w:val="left"/>
        <w:rPr>
          <w:rFonts w:ascii="Times New Roman;serif" w:hAnsi="Times New Roman;serif"/>
          <w:b w:val="false"/>
          <w:color w:val="000000"/>
          <w:sz w:val="24"/>
        </w:rPr>
      </w:pPr>
      <w:r>
        <w:rPr>
          <w:rFonts w:ascii="Times New Roman;serif" w:hAnsi="Times New Roman;serif"/>
          <w:b w:val="false"/>
          <w:color w:val="000000"/>
          <w:sz w:val="24"/>
        </w:rPr>
        <w:t>(312) 344-4320</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8"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4"/>
                              </w:rPr>
                            </w:pPr>
                            <w:r>
                              <w:rPr>
                                <w:rFonts w:ascii="Times New Roman;serif" w:hAnsi="Times New Roman;serif"/>
                                <w:b w:val="false"/>
                                <w:color w:val="000000"/>
                                <w:sz w:val="24"/>
                              </w:rPr>
                              <w:t>&lt; more &gt;</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4"/>
                        </w:rPr>
                      </w:pPr>
                      <w:r>
                        <w:rPr>
                          <w:rFonts w:ascii="Times New Roman;serif" w:hAnsi="Times New Roman;serif"/>
                          <w:b w:val="false"/>
                          <w:color w:val="000000"/>
                          <w:sz w:val="24"/>
                        </w:rPr>
                        <w:t>&lt; more &gt;</w:t>
                      </w:r>
                    </w:p>
                  </w:txbxContent>
                </v:textbox>
                <w10:wrap type="none"/>
              </v:rect>
            </w:pict>
          </mc:Fallback>
        </mc:AlternateContent>
      </w:r>
    </w:p>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FIRST INDUSTRIAL REALTY TRUST,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Selected Financial Data</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per share/Unit data)</w:t>
      </w:r>
    </w:p>
    <w:tbl>
      <w:tblPr>
        <w:tblW w:w="10205" w:type="dxa"/>
        <w:jc w:val="center"/>
        <w:tblInd w:w="0" w:type="dxa"/>
        <w:tblLayout w:type="fixed"/>
        <w:tblCellMar>
          <w:top w:w="28" w:type="dxa"/>
          <w:left w:w="28" w:type="dxa"/>
          <w:bottom w:w="28" w:type="dxa"/>
          <w:right w:w="28" w:type="dxa"/>
        </w:tblCellMar>
      </w:tblPr>
      <w:tblGrid>
        <w:gridCol w:w="1704"/>
        <w:gridCol w:w="1248"/>
        <w:gridCol w:w="1255"/>
        <w:gridCol w:w="109"/>
        <w:gridCol w:w="109"/>
        <w:gridCol w:w="109"/>
        <w:gridCol w:w="211"/>
        <w:gridCol w:w="841"/>
        <w:gridCol w:w="109"/>
        <w:gridCol w:w="109"/>
        <w:gridCol w:w="109"/>
        <w:gridCol w:w="109"/>
        <w:gridCol w:w="211"/>
        <w:gridCol w:w="841"/>
        <w:gridCol w:w="109"/>
        <w:gridCol w:w="109"/>
        <w:gridCol w:w="109"/>
        <w:gridCol w:w="109"/>
        <w:gridCol w:w="211"/>
        <w:gridCol w:w="841"/>
        <w:gridCol w:w="109"/>
        <w:gridCol w:w="109"/>
        <w:gridCol w:w="109"/>
        <w:gridCol w:w="109"/>
        <w:gridCol w:w="211"/>
        <w:gridCol w:w="841"/>
        <w:gridCol w:w="155"/>
      </w:tblGrid>
      <w:tr>
        <w:trPr/>
        <w:tc>
          <w:tcPr>
            <w:tcW w:w="1704" w:type="dxa"/>
            <w:tcBorders/>
            <w:vAlign w:val="center"/>
          </w:tcPr>
          <w:p>
            <w:pPr>
              <w:pStyle w:val="TableContents"/>
              <w:bidi w:val="0"/>
              <w:spacing w:before="0" w:after="283"/>
              <w:jc w:val="left"/>
              <w:rPr>
                <w:sz w:val="4"/>
                <w:szCs w:val="4"/>
              </w:rPr>
            </w:pPr>
            <w:r>
              <w:rPr>
                <w:sz w:val="4"/>
                <w:szCs w:val="4"/>
              </w:rPr>
            </w:r>
          </w:p>
        </w:tc>
        <w:tc>
          <w:tcPr>
            <w:tcW w:w="1248" w:type="dxa"/>
            <w:tcBorders/>
            <w:vAlign w:val="center"/>
          </w:tcPr>
          <w:p>
            <w:pPr>
              <w:pStyle w:val="TableContents"/>
              <w:bidi w:val="0"/>
              <w:spacing w:before="0" w:after="283"/>
              <w:jc w:val="left"/>
              <w:rPr>
                <w:sz w:val="4"/>
                <w:szCs w:val="4"/>
              </w:rPr>
            </w:pPr>
            <w:r>
              <w:rPr>
                <w:sz w:val="4"/>
                <w:szCs w:val="4"/>
              </w:rPr>
            </w:r>
          </w:p>
        </w:tc>
        <w:tc>
          <w:tcPr>
            <w:tcW w:w="12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2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w:t>
            </w:r>
          </w:p>
        </w:tc>
      </w:tr>
      <w:tr>
        <w:trPr/>
        <w:tc>
          <w:tcPr>
            <w:tcW w:w="42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w:t>
            </w:r>
          </w:p>
        </w:tc>
      </w:tr>
      <w:tr>
        <w:trPr/>
        <w:tc>
          <w:tcPr>
            <w:tcW w:w="42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2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Statements of Operations and Other Data: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Total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197,115 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181,430 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586,882 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538,667 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Property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(50,372)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(46,185)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(151,947)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(139,950)</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color w:val="000000"/>
              </w:rPr>
              <w:t>    </w:t>
            </w:r>
            <w:r>
              <w:rPr>
                <w:rFonts w:ascii="Times New Roman;serif" w:hAnsi="Times New Roman;serif"/>
                <w:b w:val="false"/>
                <w:color w:val="000000"/>
                <w:sz w:val="20"/>
              </w:rPr>
              <w:t xml:space="preserve">General and Administrative </w:t>
            </w:r>
            <w:r>
              <w:rPr>
                <w:rFonts w:ascii="Times New Roman;serif" w:hAnsi="Times New Roman;serif"/>
                <w:b/>
                <w:color w:val="000000"/>
                <w:sz w:val="20"/>
              </w:rPr>
              <w:t>(a)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(8,552)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(40,431)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(32,883)</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7" w:type="dxa"/>
            <w:gridSpan w:val="3"/>
            <w:tcBorders/>
            <w:vAlign w:val="center"/>
          </w:tcPr>
          <w:p>
            <w:pPr>
              <w:pStyle w:val="TableContents"/>
              <w:bidi w:val="0"/>
              <w:spacing w:before="0" w:after="283"/>
              <w:jc w:val="left"/>
              <w:rPr>
                <w:sz w:val="4"/>
                <w:szCs w:val="4"/>
              </w:rPr>
            </w:pPr>
            <w:r>
              <w:rPr>
                <w:sz w:val="4"/>
                <w:szCs w:val="4"/>
              </w:rPr>
            </w:r>
          </w:p>
        </w:tc>
      </w:tr>
      <w:tr>
        <w:trPr/>
        <w:tc>
          <w:tcPr>
            <w:tcW w:w="42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Joint Venture Development Services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(524)</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Depreciation of Corporate FF&amp;E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(477)</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Depreciation and Other Amortization of Real Estate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(50,855)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(45,601)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(150,843)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(136,232)</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Total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(109,979)</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(100,675)</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(343,722)</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(310,066)</w:t>
            </w:r>
          </w:p>
        </w:tc>
        <w:tc>
          <w:tcPr>
            <w:tcW w:w="15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Gain on Sale of Real Estate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125,623 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17,503 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Interest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(24,787)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(73,074)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(62,922)</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Amortization of Debt Issuance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(4,673)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(3,684)</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7" w:type="dxa"/>
            <w:gridSpan w:val="3"/>
            <w:tcBorders/>
            <w:vAlign w:val="center"/>
          </w:tcPr>
          <w:p>
            <w:pPr>
              <w:pStyle w:val="TableContents"/>
              <w:bidi w:val="0"/>
              <w:spacing w:before="0" w:after="283"/>
              <w:jc w:val="left"/>
              <w:rPr>
                <w:sz w:val="4"/>
                <w:szCs w:val="4"/>
              </w:rPr>
            </w:pPr>
            <w:r>
              <w:rPr>
                <w:sz w:val="4"/>
                <w:szCs w:val="4"/>
              </w:rPr>
            </w:r>
          </w:p>
        </w:tc>
      </w:tr>
      <w:tr>
        <w:trPr/>
        <w:tc>
          <w:tcPr>
            <w:tcW w:w="42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color w:val="000000"/>
                <w:sz w:val="20"/>
              </w:rPr>
              <w:t xml:space="preserve">Income from Operations Before Equity in Income of </w:t>
              <w:br/>
              <w:t>         Joint Venture and Income Tax Provision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60,778</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67,169</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291,036</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179,498</w:t>
            </w:r>
            <w:r>
              <w:rPr>
                <w:color w:val="000000"/>
              </w:rPr>
              <w:t> </w:t>
            </w:r>
          </w:p>
        </w:tc>
        <w:tc>
          <w:tcPr>
            <w:tcW w:w="15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Equity in Income of Joint Venture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3,800 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Income Tax Provision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(6,171)</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color w:val="000000"/>
                <w:sz w:val="20"/>
              </w:rPr>
              <w:t>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60,523</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67,364</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288,135</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177,127</w:t>
            </w:r>
            <w:r>
              <w:rPr>
                <w:color w:val="000000"/>
              </w:rPr>
              <w:t>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Net Income Attributable to the Noncontrolling Interests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(9,388)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(8,533)</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color w:val="000000"/>
                <w:sz w:val="20"/>
              </w:rPr>
              <w:t>Net Income Available to First Industrial Realty Trust, Inc.'s</w:t>
              <w:br/>
              <w:t>         Common Stockholders and Participating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58,550</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65,306</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278,747</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168,594</w:t>
            </w:r>
            <w:r>
              <w:rPr>
                <w:color w:val="000000"/>
              </w:rPr>
              <w:t>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RECONCILIATION OF NET INCOME AVAILABLE TO</w:t>
              <w:br/>
              <w:t>FIRST INDUSTRIAL REALTY TRUST, INC.'S COMMON</w:t>
              <w:br/>
              <w:t>STOCKHOLDERS AND PARTICIPATING SECURITIES</w:t>
              <w:br/>
              <w:t>TO FFO (d) AND AFFO (d)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color w:val="000000"/>
                <w:sz w:val="20"/>
              </w:rPr>
              <w:t>Net Income Available to First Industrial Realty Trust, Inc.'s</w:t>
              <w:br/>
              <w:t>         Common Stockholders and Participating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58,550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65,306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278,747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168,594</w:t>
            </w: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Depreciation and Other Amortization of Real Estate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50,855 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45,601 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150,843 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136,232 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7" w:type="dxa"/>
            <w:gridSpan w:val="3"/>
            <w:tcBorders/>
            <w:vAlign w:val="center"/>
          </w:tcPr>
          <w:p>
            <w:pPr>
              <w:pStyle w:val="TableContents"/>
              <w:bidi w:val="0"/>
              <w:spacing w:before="0" w:after="283"/>
              <w:jc w:val="left"/>
              <w:rPr>
                <w:sz w:val="4"/>
                <w:szCs w:val="4"/>
              </w:rPr>
            </w:pPr>
            <w:r>
              <w:rPr>
                <w:sz w:val="4"/>
                <w:szCs w:val="4"/>
              </w:rPr>
            </w:r>
          </w:p>
        </w:tc>
      </w:tr>
      <w:tr>
        <w:trPr/>
        <w:tc>
          <w:tcPr>
            <w:tcW w:w="420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Depreciation and Other Amortization of Real Estate in the </w:t>
            </w:r>
          </w:p>
          <w:p>
            <w:pPr>
              <w:pStyle w:val="TableContents"/>
              <w:bidi w:val="0"/>
              <w:spacing w:lineRule="auto" w:line="240" w:before="0" w:after="0"/>
              <w:jc w:val="left"/>
              <w:rPr/>
            </w:pPr>
            <w:r>
              <w:rPr>
                <w:color w:val="000000"/>
              </w:rPr>
              <w:t>     </w:t>
            </w:r>
            <w:r>
              <w:rPr>
                <w:rFonts w:ascii="Times New Roman;serif" w:hAnsi="Times New Roman;serif"/>
                <w:b w:val="false"/>
                <w:color w:val="000000"/>
                <w:sz w:val="20"/>
              </w:rPr>
              <w:t xml:space="preserve">Joint Venture </w:t>
            </w:r>
            <w:r>
              <w:rPr>
                <w:rFonts w:ascii="Times New Roman;serif" w:hAnsi="Times New Roman;serif"/>
                <w:b/>
                <w:color w:val="000000"/>
                <w:sz w:val="20"/>
              </w:rPr>
              <w:t>(b)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Net Income Attributable to the Noncontrolling Interests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8,533 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Gain on Sale of Real Estate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(9,538)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(125,623)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(17,503)</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color w:val="000000"/>
              </w:rPr>
              <w:t>     </w:t>
            </w:r>
            <w:r>
              <w:rPr>
                <w:rFonts w:ascii="Times New Roman;serif" w:hAnsi="Times New Roman;serif"/>
                <w:b w:val="false"/>
                <w:color w:val="000000"/>
                <w:sz w:val="20"/>
              </w:rPr>
              <w:t xml:space="preserve">Gain on Sale of Real Estate from Joint Venture </w:t>
            </w:r>
            <w:r>
              <w:rPr>
                <w:rFonts w:ascii="Times New Roman;serif" w:hAnsi="Times New Roman;serif"/>
                <w:b/>
                <w:color w:val="000000"/>
                <w:sz w:val="20"/>
              </w:rPr>
              <w:t>(b)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(3,743)</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Equity in FFO from Joint Venture Attributable to the</w:t>
            </w:r>
          </w:p>
          <w:p>
            <w:pPr>
              <w:pStyle w:val="TableContents"/>
              <w:bidi w:val="0"/>
              <w:spacing w:lineRule="auto" w:line="240" w:before="0" w:after="0"/>
              <w:jc w:val="left"/>
              <w:rPr/>
            </w:pPr>
            <w:r>
              <w:rPr>
                <w:color w:val="000000"/>
              </w:rPr>
              <w:t>    </w:t>
            </w:r>
            <w:r>
              <w:rPr>
                <w:rFonts w:ascii="Times New Roman;serif" w:hAnsi="Times New Roman;serif"/>
                <w:b w:val="false"/>
                <w:color w:val="000000"/>
                <w:sz w:val="20"/>
              </w:rPr>
              <w:t xml:space="preserve">Noncontrolling Interest </w:t>
            </w:r>
            <w:r>
              <w:rPr>
                <w:rFonts w:ascii="Times New Roman;serif" w:hAnsi="Times New Roman;serif"/>
                <w:b/>
                <w:color w:val="000000"/>
                <w:sz w:val="20"/>
              </w:rPr>
              <w:t>(b)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color w:val="000000"/>
              </w:rPr>
              <w:t>     </w:t>
            </w:r>
            <w:r>
              <w:rPr>
                <w:rFonts w:ascii="Times New Roman;serif" w:hAnsi="Times New Roman;serif"/>
                <w:b w:val="false"/>
                <w:color w:val="000000"/>
                <w:sz w:val="20"/>
              </w:rPr>
              <w:t xml:space="preserve">Income Tax (Benefit) Provision - Excluded from FFO </w:t>
            </w:r>
            <w:r>
              <w:rPr>
                <w:rFonts w:ascii="Times New Roman;serif" w:hAnsi="Times New Roman;serif"/>
                <w:b/>
                <w:color w:val="000000"/>
                <w:sz w:val="20"/>
              </w:rPr>
              <w:t>(c)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5,408 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color w:val="000000"/>
                <w:sz w:val="20"/>
              </w:rPr>
              <w:t>Funds From Operations ("FFO") (NAREIT) (d)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111,365</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103,514</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315,551</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299,434</w:t>
            </w:r>
            <w:r>
              <w:rPr>
                <w:color w:val="000000"/>
              </w:rPr>
              <w:t>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7" w:type="dxa"/>
            <w:gridSpan w:val="3"/>
            <w:tcBorders/>
            <w:vAlign w:val="center"/>
          </w:tcPr>
          <w:p>
            <w:pPr>
              <w:pStyle w:val="TableContents"/>
              <w:bidi w:val="0"/>
              <w:spacing w:before="0" w:after="283"/>
              <w:jc w:val="left"/>
              <w:rPr>
                <w:sz w:val="4"/>
                <w:szCs w:val="4"/>
              </w:rPr>
            </w:pPr>
            <w:r>
              <w:rPr>
                <w:sz w:val="4"/>
                <w:szCs w:val="4"/>
              </w:rPr>
            </w:r>
          </w:p>
        </w:tc>
      </w:tr>
      <w:tr>
        <w:trPr/>
        <w:tc>
          <w:tcPr>
            <w:tcW w:w="42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Amortization of Equity 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18,293 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Amortization of Debt Discounts and Hedge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Amortization of Debt Issuance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3,684 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Depreciation of Corporate FF&amp;E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7" w:type="dxa"/>
            <w:gridSpan w:val="3"/>
            <w:tcBorders/>
            <w:vAlign w:val="center"/>
          </w:tcPr>
          <w:p>
            <w:pPr>
              <w:pStyle w:val="TableContents"/>
              <w:bidi w:val="0"/>
              <w:spacing w:before="0" w:after="283"/>
              <w:jc w:val="left"/>
              <w:rPr>
                <w:sz w:val="4"/>
                <w:szCs w:val="4"/>
              </w:rPr>
            </w:pPr>
            <w:r>
              <w:rPr>
                <w:sz w:val="4"/>
                <w:szCs w:val="4"/>
              </w:rPr>
            </w:r>
          </w:p>
        </w:tc>
      </w:tr>
      <w:tr>
        <w:trPr/>
        <w:tc>
          <w:tcPr>
            <w:tcW w:w="42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7" w:type="dxa"/>
            <w:gridSpan w:val="3"/>
            <w:tcBorders/>
            <w:vAlign w:val="center"/>
          </w:tcPr>
          <w:p>
            <w:pPr>
              <w:pStyle w:val="TableContents"/>
              <w:bidi w:val="0"/>
              <w:spacing w:before="0" w:after="283"/>
              <w:jc w:val="left"/>
              <w:rPr>
                <w:sz w:val="4"/>
                <w:szCs w:val="4"/>
              </w:rPr>
            </w:pPr>
            <w:r>
              <w:rPr>
                <w:sz w:val="4"/>
                <w:szCs w:val="4"/>
              </w:rPr>
            </w:r>
          </w:p>
        </w:tc>
      </w:tr>
      <w:tr>
        <w:trPr/>
        <w:tc>
          <w:tcPr>
            <w:tcW w:w="42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7" w:type="dxa"/>
            <w:gridSpan w:val="3"/>
            <w:tcBorders/>
            <w:vAlign w:val="center"/>
          </w:tcPr>
          <w:p>
            <w:pPr>
              <w:pStyle w:val="TableContents"/>
              <w:bidi w:val="0"/>
              <w:spacing w:before="0" w:after="283"/>
              <w:jc w:val="left"/>
              <w:rPr>
                <w:sz w:val="4"/>
                <w:szCs w:val="4"/>
              </w:rPr>
            </w:pPr>
            <w:r>
              <w:rPr>
                <w:sz w:val="4"/>
                <w:szCs w:val="4"/>
              </w:rPr>
            </w:r>
          </w:p>
        </w:tc>
      </w:tr>
      <w:tr>
        <w:trPr/>
        <w:tc>
          <w:tcPr>
            <w:tcW w:w="42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Non-incremental Building Improvements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(5,845)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(5,641)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(17,655)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(13,229)</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Non-incremental Leasing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(15,264)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(32,891)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(19,580)</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Capitalized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(3,489)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(8,653)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(9,374)</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Capitalized Overhead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(6,178)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(6,492)</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Straight-Line Rent, Amortization of Above (Below) Market</w:t>
              <w:br/>
              <w:t>         Leases and Lease Inducements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(5,881)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(15,042)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(13,912)</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color w:val="000000"/>
                <w:sz w:val="20"/>
              </w:rPr>
              <w:t xml:space="preserve">Adjusted Funds From Operations ("AFFO") (d)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84,801</w:t>
            </w: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86,612</w:t>
            </w: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261,249</w:t>
            </w: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259,854</w:t>
            </w:r>
            <w:r>
              <w:rPr>
                <w:color w:val="000000"/>
              </w:rPr>
              <w:t> </w:t>
            </w:r>
          </w:p>
        </w:tc>
        <w:tc>
          <w:tcPr>
            <w:tcW w:w="15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75260"/>
                <wp:effectExtent l="0" t="0" r="0" b="0"/>
                <wp:wrapNone/>
                <wp:docPr id="9" name="Frame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4"/>
                              </w:rPr>
                            </w:pPr>
                            <w:r>
                              <w:rPr>
                                <w:rFonts w:ascii="Times New Roman;serif" w:hAnsi="Times New Roman;serif"/>
                                <w:b w:val="false"/>
                                <w:color w:val="000000"/>
                                <w:sz w:val="24"/>
                              </w:rPr>
                              <w:t>&lt; more &gt;</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4"/>
                        </w:rPr>
                      </w:pPr>
                      <w:r>
                        <w:rPr>
                          <w:rFonts w:ascii="Times New Roman;serif" w:hAnsi="Times New Roman;serif"/>
                          <w:b w:val="false"/>
                          <w:color w:val="000000"/>
                          <w:sz w:val="24"/>
                        </w:rPr>
                        <w:t>&lt; more &gt;</w:t>
                      </w:r>
                    </w:p>
                  </w:txbxContent>
                </v:textbox>
                <w10:wrap type="none"/>
              </v:rect>
            </w:pict>
          </mc:Fallback>
        </mc:AlternateContent>
      </w:r>
    </w:p>
    <w:tbl>
      <w:tblPr>
        <w:tblW w:w="10205" w:type="dxa"/>
        <w:jc w:val="center"/>
        <w:tblInd w:w="0" w:type="dxa"/>
        <w:tblLayout w:type="fixed"/>
        <w:tblCellMar>
          <w:top w:w="28" w:type="dxa"/>
          <w:left w:w="28" w:type="dxa"/>
          <w:bottom w:w="28" w:type="dxa"/>
          <w:right w:w="28" w:type="dxa"/>
        </w:tblCellMar>
      </w:tblPr>
      <w:tblGrid>
        <w:gridCol w:w="1523"/>
        <w:gridCol w:w="1340"/>
        <w:gridCol w:w="1343"/>
        <w:gridCol w:w="109"/>
        <w:gridCol w:w="109"/>
        <w:gridCol w:w="109"/>
        <w:gridCol w:w="211"/>
        <w:gridCol w:w="841"/>
        <w:gridCol w:w="109"/>
        <w:gridCol w:w="109"/>
        <w:gridCol w:w="109"/>
        <w:gridCol w:w="109"/>
        <w:gridCol w:w="211"/>
        <w:gridCol w:w="841"/>
        <w:gridCol w:w="109"/>
        <w:gridCol w:w="109"/>
        <w:gridCol w:w="109"/>
        <w:gridCol w:w="109"/>
        <w:gridCol w:w="211"/>
        <w:gridCol w:w="841"/>
        <w:gridCol w:w="109"/>
        <w:gridCol w:w="109"/>
        <w:gridCol w:w="109"/>
        <w:gridCol w:w="109"/>
        <w:gridCol w:w="211"/>
        <w:gridCol w:w="841"/>
        <w:gridCol w:w="156"/>
      </w:tblGrid>
      <w:tr>
        <w:trPr/>
        <w:tc>
          <w:tcPr>
            <w:tcW w:w="1523" w:type="dxa"/>
            <w:tcBorders/>
            <w:vAlign w:val="center"/>
          </w:tcPr>
          <w:p>
            <w:pPr>
              <w:pStyle w:val="TableContents"/>
              <w:bidi w:val="0"/>
              <w:spacing w:before="0" w:after="283"/>
              <w:jc w:val="left"/>
              <w:rPr>
                <w:sz w:val="4"/>
                <w:szCs w:val="4"/>
              </w:rPr>
            </w:pPr>
            <w:r>
              <w:rPr>
                <w:sz w:val="4"/>
                <w:szCs w:val="4"/>
              </w:rPr>
            </w:r>
          </w:p>
        </w:tc>
        <w:tc>
          <w:tcPr>
            <w:tcW w:w="1340" w:type="dxa"/>
            <w:tcBorders/>
            <w:vAlign w:val="center"/>
          </w:tcPr>
          <w:p>
            <w:pPr>
              <w:pStyle w:val="TableContents"/>
              <w:bidi w:val="0"/>
              <w:spacing w:before="0" w:after="283"/>
              <w:jc w:val="left"/>
              <w:rPr>
                <w:sz w:val="4"/>
                <w:szCs w:val="4"/>
              </w:rPr>
            </w:pPr>
            <w:r>
              <w:rPr>
                <w:sz w:val="4"/>
                <w:szCs w:val="4"/>
              </w:rPr>
            </w:r>
          </w:p>
        </w:tc>
        <w:tc>
          <w:tcPr>
            <w:tcW w:w="13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20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 xml:space="preserve">RECONCILIATION OF NET INCOME AVAILABLE TO </w:t>
              <w:br/>
              <w:t>FIRST INDUSTRIAL REALTY TRUST, INC.'S COMMON</w:t>
              <w:br/>
              <w:t xml:space="preserve">STOCKHOLDERS AND PARTICIPATING SECURITIES TO ADJUSTED EBITDA (d) AND NOI (d)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9"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6"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9"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6"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w:t>
            </w:r>
          </w:p>
        </w:tc>
      </w:tr>
      <w:tr>
        <w:trPr/>
        <w:tc>
          <w:tcPr>
            <w:tcW w:w="420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w:t>
            </w:r>
          </w:p>
        </w:tc>
      </w:tr>
      <w:tr>
        <w:trPr/>
        <w:tc>
          <w:tcPr>
            <w:tcW w:w="420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2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 xml:space="preserve">Net Income Available to First Industrial Realty Trust, Inc.'s </w:t>
              <w:br/>
              <w:t>         Common Stockholders and Participating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58,550</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65,306</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278,747</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168,594</w:t>
            </w:r>
            <w:r>
              <w:rPr>
                <w:color w:val="000000"/>
              </w:rPr>
              <w:t>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 xml:space="preserve">Interest Expense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73,074 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62,922 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 xml:space="preserve">Depreciation and Other Amortization of Real Estate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50,855 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45,601 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150,843 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136,232 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Depreciation and Other Amortization of Real Estate in the </w:t>
            </w:r>
          </w:p>
          <w:p>
            <w:pPr>
              <w:pStyle w:val="TableContents"/>
              <w:bidi w:val="0"/>
              <w:spacing w:lineRule="auto" w:line="240" w:before="0" w:after="0"/>
              <w:jc w:val="left"/>
              <w:rPr/>
            </w:pPr>
            <w:r>
              <w:rPr>
                <w:color w:val="000000"/>
              </w:rPr>
              <w:t>     </w:t>
            </w:r>
            <w:r>
              <w:rPr>
                <w:rFonts w:ascii="Times New Roman;serif" w:hAnsi="Times New Roman;serif"/>
                <w:b w:val="false"/>
                <w:color w:val="000000"/>
                <w:sz w:val="20"/>
              </w:rPr>
              <w:t xml:space="preserve">Joint Venture </w:t>
            </w:r>
            <w:r>
              <w:rPr>
                <w:rFonts w:ascii="Times New Roman;serif" w:hAnsi="Times New Roman;serif"/>
                <w:b/>
                <w:color w:val="000000"/>
                <w:sz w:val="20"/>
              </w:rPr>
              <w:t>(b)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8" w:type="dxa"/>
            <w:gridSpan w:val="3"/>
            <w:tcBorders/>
            <w:vAlign w:val="center"/>
          </w:tcPr>
          <w:p>
            <w:pPr>
              <w:pStyle w:val="TableContents"/>
              <w:bidi w:val="0"/>
              <w:spacing w:before="0" w:after="283"/>
              <w:jc w:val="left"/>
              <w:rPr>
                <w:sz w:val="4"/>
                <w:szCs w:val="4"/>
              </w:rPr>
            </w:pPr>
            <w:r>
              <w:rPr>
                <w:sz w:val="4"/>
                <w:szCs w:val="4"/>
              </w:rPr>
            </w:r>
          </w:p>
        </w:tc>
      </w:tr>
      <w:tr>
        <w:trPr/>
        <w:tc>
          <w:tcPr>
            <w:tcW w:w="42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8" w:type="dxa"/>
            <w:gridSpan w:val="3"/>
            <w:tcBorders/>
            <w:vAlign w:val="center"/>
          </w:tcPr>
          <w:p>
            <w:pPr>
              <w:pStyle w:val="TableContents"/>
              <w:bidi w:val="0"/>
              <w:spacing w:before="0" w:after="283"/>
              <w:jc w:val="left"/>
              <w:rPr>
                <w:sz w:val="4"/>
                <w:szCs w:val="4"/>
              </w:rPr>
            </w:pPr>
            <w:r>
              <w:rPr>
                <w:sz w:val="4"/>
                <w:szCs w:val="4"/>
              </w:rPr>
            </w:r>
          </w:p>
        </w:tc>
      </w:tr>
      <w:tr>
        <w:trPr/>
        <w:tc>
          <w:tcPr>
            <w:tcW w:w="420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color w:val="000000"/>
              </w:rPr>
              <w:t>     </w:t>
            </w:r>
            <w:r>
              <w:rPr>
                <w:rFonts w:ascii="Times New Roman;serif" w:hAnsi="Times New Roman;serif"/>
                <w:b w:val="false"/>
                <w:color w:val="000000"/>
                <w:sz w:val="20"/>
              </w:rPr>
              <w:t xml:space="preserve">Income Tax Provision - Allocable to FFO </w:t>
            </w:r>
            <w:r>
              <w:rPr>
                <w:rFonts w:ascii="Times New Roman;serif" w:hAnsi="Times New Roman;serif"/>
                <w:b/>
                <w:color w:val="000000"/>
                <w:sz w:val="20"/>
              </w:rPr>
              <w:t>(c)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the Noncontrolling Interests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8,533 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Equity in FFO from Joint Venture Attributable to the</w:t>
            </w:r>
          </w:p>
          <w:p>
            <w:pPr>
              <w:pStyle w:val="TableContents"/>
              <w:bidi w:val="0"/>
              <w:spacing w:lineRule="auto" w:line="240" w:before="0" w:after="0"/>
              <w:jc w:val="left"/>
              <w:rPr/>
            </w:pPr>
            <w:r>
              <w:rPr>
                <w:color w:val="000000"/>
              </w:rPr>
              <w:t>    </w:t>
            </w:r>
            <w:r>
              <w:rPr>
                <w:rFonts w:ascii="Times New Roman;serif" w:hAnsi="Times New Roman;serif"/>
                <w:b w:val="false"/>
                <w:color w:val="000000"/>
                <w:sz w:val="20"/>
              </w:rPr>
              <w:t xml:space="preserve">Noncontrolling Interest </w:t>
            </w:r>
            <w:r>
              <w:rPr>
                <w:rFonts w:ascii="Times New Roman;serif" w:hAnsi="Times New Roman;serif"/>
                <w:b/>
                <w:color w:val="000000"/>
                <w:sz w:val="20"/>
              </w:rPr>
              <w:t>(b)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 xml:space="preserve">Amortization of Debt Issuance Costs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3,684 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 xml:space="preserve">Depreciation of Corporate FF&amp;E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 xml:space="preserve">Gain on Sale of Real Estate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(9,538)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(125,623)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(17,503)</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color w:val="000000"/>
              </w:rPr>
              <w:t>     </w:t>
            </w:r>
            <w:r>
              <w:rPr>
                <w:rFonts w:ascii="Times New Roman;serif" w:hAnsi="Times New Roman;serif"/>
                <w:b w:val="false"/>
                <w:color w:val="000000"/>
                <w:sz w:val="20"/>
              </w:rPr>
              <w:t xml:space="preserve">Gain on Sale of Real Estate from Joint Venture </w:t>
            </w:r>
            <w:r>
              <w:rPr>
                <w:rFonts w:ascii="Times New Roman;serif" w:hAnsi="Times New Roman;serif"/>
                <w:b/>
                <w:color w:val="000000"/>
                <w:sz w:val="20"/>
              </w:rPr>
              <w:t>(b)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(3,743)</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color w:val="000000"/>
              </w:rPr>
              <w:t>     </w:t>
            </w:r>
            <w:r>
              <w:rPr>
                <w:rFonts w:ascii="Times New Roman;serif" w:hAnsi="Times New Roman;serif"/>
                <w:b w:val="false"/>
                <w:color w:val="000000"/>
                <w:sz w:val="20"/>
              </w:rPr>
              <w:t xml:space="preserve">Income Tax (Benefit) Provision - Excluded from FFO </w:t>
            </w:r>
            <w:r>
              <w:rPr>
                <w:rFonts w:ascii="Times New Roman;serif" w:hAnsi="Times New Roman;serif"/>
                <w:b/>
                <w:color w:val="000000"/>
                <w:sz w:val="20"/>
              </w:rPr>
              <w:t>(c)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5,408 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color w:val="000000"/>
                <w:sz w:val="20"/>
              </w:rPr>
              <w:t xml:space="preserve">Adjusted EBITDA (d)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138,173</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127,234</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394,591</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367,280</w:t>
            </w:r>
            <w:r>
              <w:rPr>
                <w:color w:val="000000"/>
              </w:rPr>
              <w:t>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color w:val="000000"/>
              </w:rPr>
              <w:t>     </w:t>
            </w:r>
            <w:r>
              <w:rPr>
                <w:rFonts w:ascii="Times New Roman;serif" w:hAnsi="Times New Roman;serif"/>
                <w:b w:val="false"/>
                <w:color w:val="000000"/>
                <w:sz w:val="20"/>
              </w:rPr>
              <w:t xml:space="preserve">General and Administrative </w:t>
            </w:r>
            <w:r>
              <w:rPr>
                <w:rFonts w:ascii="Times New Roman;serif" w:hAnsi="Times New Roman;serif"/>
                <w:b/>
                <w:color w:val="000000"/>
                <w:sz w:val="20"/>
              </w:rPr>
              <w:t>(a)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40,431 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32,883 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Equity in FFO from Joint Venture, Net of Noncontrolling</w:t>
            </w:r>
          </w:p>
          <w:p>
            <w:pPr>
              <w:pStyle w:val="TableContents"/>
              <w:bidi w:val="0"/>
              <w:spacing w:lineRule="auto" w:line="240" w:before="0" w:after="0"/>
              <w:jc w:val="left"/>
              <w:rPr/>
            </w:pPr>
            <w:r>
              <w:rPr>
                <w:color w:val="000000"/>
              </w:rPr>
              <w:t>     </w:t>
            </w:r>
            <w:r>
              <w:rPr>
                <w:rFonts w:ascii="Times New Roman;serif" w:hAnsi="Times New Roman;serif"/>
                <w:b w:val="false"/>
                <w:color w:val="000000"/>
                <w:sz w:val="20"/>
              </w:rPr>
              <w:t xml:space="preserve">Interest </w:t>
            </w:r>
            <w:r>
              <w:rPr>
                <w:rFonts w:ascii="Times New Roman;serif" w:hAnsi="Times New Roman;serif"/>
                <w:b/>
                <w:color w:val="000000"/>
                <w:sz w:val="20"/>
              </w:rPr>
              <w:t>(b)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(1,970)</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color w:val="000000"/>
                <w:sz w:val="20"/>
              </w:rPr>
              <w:t xml:space="preserve">Net Operating Income ("NOI") (d)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146,739</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135,055</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434,882</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398,193</w:t>
            </w:r>
            <w:r>
              <w:rPr>
                <w:color w:val="000000"/>
              </w:rPr>
              <w:t> </w:t>
            </w:r>
          </w:p>
        </w:tc>
        <w:tc>
          <w:tcPr>
            <w:tcW w:w="1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 xml:space="preserve">Non-Same Store NOI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(8,362)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(3,767)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(7,513)</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color w:val="000000"/>
                <w:sz w:val="20"/>
              </w:rPr>
              <w:t xml:space="preserve">Same Store NOI Before Same Store Adjustments (d)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138,377</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131,288</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409,860</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390,680</w:t>
            </w:r>
            <w:r>
              <w:rPr>
                <w:color w:val="000000"/>
              </w:rPr>
              <w:t> </w:t>
            </w:r>
          </w:p>
        </w:tc>
        <w:tc>
          <w:tcPr>
            <w:tcW w:w="1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 xml:space="preserve">Straight-line Rent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(5,470)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(12,311)</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 xml:space="preserve">Above (Below) Market Lease Amortization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(1,467)</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 xml:space="preserve">Lease Termination Fees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color w:val="000000"/>
                <w:sz w:val="20"/>
              </w:rPr>
              <w:t xml:space="preserve">Same Store NOI (Cash Basis without Termination Fees) (d)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135,025</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127,917</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403,045</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376,748</w:t>
            </w:r>
            <w:r>
              <w:rPr>
                <w:color w:val="000000"/>
              </w:rPr>
              <w:t> </w:t>
            </w:r>
          </w:p>
        </w:tc>
        <w:tc>
          <w:tcPr>
            <w:tcW w:w="1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Avg. Number of Shares/Units Outstanding - Basic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135,943 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135,479 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135,931 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135,461 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Avg. Number of Shares Outstanding - Basic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132,612 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132,450 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132,597 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132,432 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Avg. Number of Shares/Units Outstanding - 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136,554 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135,920 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136,507 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135,973 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Avg. Number of Shares Outstanding - Diluted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132,686 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132,504 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132,665 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132,492 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Per Share/Unit Data: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Net Income Available to First Industrial Realty Trust, Inc.'s </w:t>
              <w:br/>
              <w:t>     Common Stockholders and Participating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58,550 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65,306 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278,747 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168,594 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Less: Allocation to Participating Securities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Available to First Industrial Realty Trust, Inc.'s</w:t>
              <w:br/>
              <w:t xml:space="preserve">     Common Stockholders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58,517 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65,269 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278,613 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168,486 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Basic and Diluted Per Share </w:t>
            </w:r>
            <w:r>
              <w:rPr>
                <w:rFonts w:ascii="Times New Roman;serif" w:hAnsi="Times New Roman;serif"/>
                <w:b/>
                <w:color w:val="000000"/>
                <w:sz w:val="20"/>
              </w:rPr>
              <w:t>(a)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8" w:type="dxa"/>
            <w:gridSpan w:val="3"/>
            <w:tcBorders/>
            <w:vAlign w:val="center"/>
          </w:tcPr>
          <w:p>
            <w:pPr>
              <w:pStyle w:val="TableContents"/>
              <w:bidi w:val="0"/>
              <w:spacing w:before="0" w:after="283"/>
              <w:jc w:val="left"/>
              <w:rPr>
                <w:sz w:val="4"/>
                <w:szCs w:val="4"/>
              </w:rPr>
            </w:pPr>
            <w:r>
              <w:rPr>
                <w:sz w:val="4"/>
                <w:szCs w:val="4"/>
              </w:rPr>
            </w:r>
          </w:p>
        </w:tc>
      </w:tr>
      <w:tr>
        <w:trPr/>
        <w:tc>
          <w:tcPr>
            <w:tcW w:w="42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FFO (NAREIT) </w:t>
            </w:r>
            <w:r>
              <w:rPr>
                <w:rFonts w:ascii="Times New Roman;serif" w:hAnsi="Times New Roman;serif"/>
                <w:b/>
                <w:color w:val="000000"/>
                <w:sz w:val="20"/>
              </w:rPr>
              <w:t>(d)</w:t>
            </w:r>
            <w:r>
              <w:rPr>
                <w:color w:val="000000"/>
              </w:rPr>
              <w:t xml:space="preserve">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111,365 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103,514 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315,551 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299,434 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Less: Allocation to Participating Securities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(435)</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FFO (NAREIT) Allocable to Common Stockholders and </w:t>
            </w:r>
          </w:p>
          <w:p>
            <w:pPr>
              <w:pStyle w:val="TableContents"/>
              <w:bidi w:val="0"/>
              <w:spacing w:lineRule="auto" w:line="240" w:before="0" w:after="0"/>
              <w:ind w:left="0" w:right="0" w:firstLine="270"/>
              <w:jc w:val="left"/>
              <w:rPr>
                <w:rFonts w:ascii="Times New Roman;serif" w:hAnsi="Times New Roman;serif"/>
                <w:b w:val="false"/>
                <w:color w:val="000000"/>
                <w:sz w:val="20"/>
              </w:rPr>
            </w:pPr>
            <w:r>
              <w:rPr>
                <w:rFonts w:ascii="Times New Roman;serif" w:hAnsi="Times New Roman;serif"/>
                <w:b w:val="false"/>
                <w:color w:val="000000"/>
                <w:sz w:val="20"/>
              </w:rPr>
              <w:t xml:space="preserve">Unitholders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111,205 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103,365 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315,113 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298,999 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Basic Per Share/Unit </w:t>
            </w:r>
            <w:r>
              <w:rPr>
                <w:rFonts w:ascii="Times New Roman;serif" w:hAnsi="Times New Roman;serif"/>
                <w:b/>
                <w:color w:val="000000"/>
                <w:sz w:val="20"/>
              </w:rPr>
              <w:t>(a)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Diluted Per Share/Unit </w:t>
            </w:r>
            <w:r>
              <w:rPr>
                <w:rFonts w:ascii="Times New Roman;serif" w:hAnsi="Times New Roman;serif"/>
                <w:b/>
                <w:color w:val="000000"/>
                <w:sz w:val="20"/>
              </w:rPr>
              <w:t>(a)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Common Dividends/Distributions Per Share/Unit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75260"/>
                <wp:effectExtent l="0" t="0" r="0" b="0"/>
                <wp:wrapNone/>
                <wp:docPr id="10" name="Frame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4"/>
                              </w:rPr>
                            </w:pPr>
                            <w:r>
                              <w:rPr>
                                <w:rFonts w:ascii="Times New Roman;serif" w:hAnsi="Times New Roman;serif"/>
                                <w:b w:val="false"/>
                                <w:color w:val="000000"/>
                                <w:sz w:val="24"/>
                              </w:rPr>
                              <w:t>&lt; more &gt;</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4"/>
                        </w:rPr>
                      </w:pPr>
                      <w:r>
                        <w:rPr>
                          <w:rFonts w:ascii="Times New Roman;serif" w:hAnsi="Times New Roman;serif"/>
                          <w:b w:val="false"/>
                          <w:color w:val="000000"/>
                          <w:sz w:val="24"/>
                        </w:rPr>
                        <w:t>&lt; more &gt;</w:t>
                      </w:r>
                    </w:p>
                  </w:txbxContent>
                </v:textbox>
                <w10:wrap type="none"/>
              </v:rect>
            </w:pict>
          </mc:Fallback>
        </mc:AlternateContent>
      </w:r>
    </w:p>
    <w:tbl>
      <w:tblPr>
        <w:tblW w:w="7642" w:type="dxa"/>
        <w:jc w:val="center"/>
        <w:tblInd w:w="0" w:type="dxa"/>
        <w:tblLayout w:type="fixed"/>
        <w:tblCellMar>
          <w:top w:w="28" w:type="dxa"/>
          <w:left w:w="28" w:type="dxa"/>
          <w:bottom w:w="28" w:type="dxa"/>
          <w:right w:w="28" w:type="dxa"/>
        </w:tblCellMar>
      </w:tblPr>
      <w:tblGrid>
        <w:gridCol w:w="1120"/>
        <w:gridCol w:w="983"/>
        <w:gridCol w:w="987"/>
        <w:gridCol w:w="109"/>
        <w:gridCol w:w="109"/>
        <w:gridCol w:w="109"/>
        <w:gridCol w:w="288"/>
        <w:gridCol w:w="1333"/>
        <w:gridCol w:w="148"/>
        <w:gridCol w:w="109"/>
        <w:gridCol w:w="109"/>
        <w:gridCol w:w="109"/>
        <w:gridCol w:w="267"/>
        <w:gridCol w:w="1239"/>
        <w:gridCol w:w="623"/>
      </w:tblGrid>
      <w:tr>
        <w:trPr/>
        <w:tc>
          <w:tcPr>
            <w:tcW w:w="1120"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333"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1239"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r>
      <w:tr>
        <w:trPr/>
        <w:tc>
          <w:tcPr>
            <w:tcW w:w="30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Sheet Data (end of 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September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9" w:type="dxa"/>
            <w:gridSpan w:val="3"/>
            <w:tcBorders/>
            <w:tcMar>
              <w:top w:w="0" w:type="dxa"/>
              <w:left w:w="0" w:type="dxa"/>
              <w:bottom w:w="0" w:type="dxa"/>
              <w:right w:w="0" w:type="dxa"/>
            </w:tcMar>
            <w:vAlign w:val="center"/>
          </w:tcPr>
          <w:p>
            <w:pPr>
              <w:pStyle w:val="TableContents"/>
              <w:bidi w:val="0"/>
              <w:spacing w:lineRule="auto" w:line="240" w:before="0" w:after="283"/>
              <w:ind w:left="0" w:right="0" w:firstLine="360"/>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Real Estate Investment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3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6,636,831 </w:t>
            </w:r>
          </w:p>
        </w:tc>
        <w:tc>
          <w:tcPr>
            <w:tcW w:w="14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3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6,367,678 </w:t>
            </w:r>
          </w:p>
        </w:tc>
        <w:tc>
          <w:tcPr>
            <w:tcW w:w="62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3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5,872,304 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5,688,081 </w:t>
            </w:r>
          </w:p>
        </w:tc>
        <w:tc>
          <w:tcPr>
            <w:tcW w:w="623" w:type="dxa"/>
            <w:tcBorders/>
            <w:shd w:fill="FFFF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2,641,235 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2,553,396 </w:t>
            </w:r>
          </w:p>
        </w:tc>
        <w:tc>
          <w:tcPr>
            <w:tcW w:w="623" w:type="dxa"/>
            <w:tcBorders/>
            <w:shd w:fill="CCEE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3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3,002,086 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2,929,151 </w:t>
            </w:r>
          </w:p>
        </w:tc>
        <w:tc>
          <w:tcPr>
            <w:tcW w:w="623" w:type="dxa"/>
            <w:tcBorders/>
            <w:shd w:fill="FFFF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2,870,218 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2,758,930 </w:t>
            </w:r>
          </w:p>
        </w:tc>
        <w:tc>
          <w:tcPr>
            <w:tcW w:w="6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68" w:before="0" w:after="0"/>
        <w:jc w:val="both"/>
        <w:rPr/>
      </w:pPr>
      <w:r>
        <w:rPr>
          <w:rFonts w:ascii="Times New Roman;serif" w:hAnsi="Times New Roman;serif"/>
          <w:b/>
          <w:color w:val="000000"/>
          <w:sz w:val="20"/>
        </w:rPr>
        <w:t>(a)</w:t>
      </w:r>
      <w:r>
        <w:rPr>
          <w:color w:val="000000"/>
        </w:rPr>
        <w:t xml:space="preserve"> </w:t>
      </w:r>
      <w:r>
        <w:rPr>
          <w:rFonts w:ascii="Times New Roman;serif" w:hAnsi="Times New Roman;serif"/>
          <w:b w:val="false"/>
          <w:color w:val="000000"/>
          <w:sz w:val="20"/>
        </w:rPr>
        <w:t>Includes $5,570 of advisory costs related to a contested proxy campaign recognized in the first quarter of 2026. Excluding these costs, basic and diluted EPS would have been $2.14 and basic and diluted FFO per share/unit would have been $2.36 and $2.35, respectively, for the nine months ended September 30, 2026.</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124"/>
        <w:gridCol w:w="109"/>
        <w:gridCol w:w="109"/>
        <w:gridCol w:w="1492"/>
        <w:gridCol w:w="1322"/>
        <w:gridCol w:w="1324"/>
        <w:gridCol w:w="109"/>
        <w:gridCol w:w="109"/>
        <w:gridCol w:w="109"/>
        <w:gridCol w:w="279"/>
        <w:gridCol w:w="658"/>
        <w:gridCol w:w="145"/>
        <w:gridCol w:w="109"/>
        <w:gridCol w:w="109"/>
        <w:gridCol w:w="109"/>
        <w:gridCol w:w="279"/>
        <w:gridCol w:w="658"/>
        <w:gridCol w:w="145"/>
        <w:gridCol w:w="109"/>
        <w:gridCol w:w="109"/>
        <w:gridCol w:w="109"/>
        <w:gridCol w:w="232"/>
        <w:gridCol w:w="748"/>
        <w:gridCol w:w="120"/>
        <w:gridCol w:w="109"/>
        <w:gridCol w:w="109"/>
        <w:gridCol w:w="109"/>
        <w:gridCol w:w="230"/>
        <w:gridCol w:w="746"/>
        <w:gridCol w:w="17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92" w:type="dxa"/>
            <w:tcBorders/>
            <w:vAlign w:val="center"/>
          </w:tcPr>
          <w:p>
            <w:pPr>
              <w:pStyle w:val="TableContents"/>
              <w:bidi w:val="0"/>
              <w:spacing w:before="0" w:after="283"/>
              <w:jc w:val="left"/>
              <w:rPr>
                <w:sz w:val="4"/>
                <w:szCs w:val="4"/>
              </w:rPr>
            </w:pPr>
            <w:r>
              <w:rPr>
                <w:sz w:val="4"/>
                <w:szCs w:val="4"/>
              </w:rPr>
            </w:r>
          </w:p>
        </w:tc>
        <w:tc>
          <w:tcPr>
            <w:tcW w:w="1322" w:type="dxa"/>
            <w:tcBorders/>
            <w:vAlign w:val="center"/>
          </w:tcPr>
          <w:p>
            <w:pPr>
              <w:pStyle w:val="TableContents"/>
              <w:bidi w:val="0"/>
              <w:spacing w:before="0" w:after="283"/>
              <w:jc w:val="left"/>
              <w:rPr>
                <w:sz w:val="4"/>
                <w:szCs w:val="4"/>
              </w:rPr>
            </w:pPr>
            <w:r>
              <w:rPr>
                <w:sz w:val="4"/>
                <w:szCs w:val="4"/>
              </w:rPr>
            </w:r>
          </w:p>
        </w:tc>
        <w:tc>
          <w:tcPr>
            <w:tcW w:w="13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41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3"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41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3"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41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3"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41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3"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41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3"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w:t>
            </w:r>
          </w:p>
        </w:tc>
        <w:tc>
          <w:tcPr>
            <w:tcW w:w="41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Equity in Income of Joint Venture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8"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180"/>
              <w:jc w:val="left"/>
              <w:rPr>
                <w:rFonts w:ascii="Times New Roman;serif" w:hAnsi="Times New Roman;serif"/>
                <w:b w:val="false"/>
                <w:color w:val="000000"/>
                <w:sz w:val="20"/>
              </w:rPr>
            </w:pPr>
            <w:r>
              <w:rPr>
                <w:rFonts w:ascii="Times New Roman;serif" w:hAnsi="Times New Roman;serif"/>
                <w:b w:val="false"/>
                <w:color w:val="000000"/>
                <w:sz w:val="20"/>
              </w:rPr>
              <w:t xml:space="preserve">Equity in Income of Joint Venture per GAAP </w:t>
            </w:r>
          </w:p>
          <w:p>
            <w:pPr>
              <w:pStyle w:val="TableContents"/>
              <w:bidi w:val="0"/>
              <w:spacing w:lineRule="auto" w:line="240"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Statements of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387 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3,800 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c>
          <w:tcPr>
            <w:tcW w:w="41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on Sale of Real Estate from Joint Venture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(3,743)</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c>
          <w:tcPr>
            <w:tcW w:w="413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Depreciation and Other Amortization of Real Estate in the</w:t>
            </w:r>
          </w:p>
          <w:p>
            <w:pPr>
              <w:pStyle w:val="TableContents"/>
              <w:bidi w:val="0"/>
              <w:spacing w:lineRule="auto" w:line="240" w:before="0" w:after="0"/>
              <w:jc w:val="left"/>
              <w:rPr>
                <w:color w:val="000000"/>
              </w:rPr>
            </w:pPr>
            <w:r>
              <w:rPr>
                <w:color w:val="000000"/>
              </w:rPr>
              <w:t>     </w:t>
            </w:r>
            <w:r>
              <w:rPr>
                <w:rFonts w:ascii="Times New Roman;serif" w:hAnsi="Times New Roman;serif"/>
                <w:b w:val="false"/>
                <w:color w:val="000000"/>
                <w:sz w:val="20"/>
              </w:rPr>
              <w:t>Joint Venture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607 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2,182 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c>
          <w:tcPr>
            <w:tcW w:w="413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Equity in FFO from Joint Venture Attributable to the</w:t>
            </w:r>
          </w:p>
          <w:p>
            <w:pPr>
              <w:pStyle w:val="TableContents"/>
              <w:bidi w:val="0"/>
              <w:spacing w:lineRule="auto" w:line="240" w:before="0" w:after="0"/>
              <w:jc w:val="left"/>
              <w:rPr>
                <w:color w:val="000000"/>
              </w:rPr>
            </w:pPr>
            <w:r>
              <w:rPr>
                <w:color w:val="000000"/>
              </w:rPr>
              <w:t>    </w:t>
            </w:r>
            <w:r>
              <w:rPr>
                <w:rFonts w:ascii="Times New Roman;serif" w:hAnsi="Times New Roman;serif"/>
                <w:b w:val="false"/>
                <w:color w:val="000000"/>
                <w:sz w:val="20"/>
              </w:rPr>
              <w:t>Noncontrolling Interest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c>
          <w:tcPr>
            <w:tcW w:w="413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Equity in FFO from Joint Venture, Net of Noncontrolling </w:t>
            </w:r>
          </w:p>
          <w:p>
            <w:pPr>
              <w:pStyle w:val="TableContents"/>
              <w:bidi w:val="0"/>
              <w:spacing w:lineRule="auto" w:line="240" w:before="0" w:after="0"/>
              <w:jc w:val="left"/>
              <w:rPr>
                <w:color w:val="000000"/>
              </w:rPr>
            </w:pPr>
            <w:r>
              <w:rPr>
                <w:color w:val="000000"/>
              </w:rPr>
              <w:t>     </w:t>
            </w:r>
            <w:r>
              <w:rPr>
                <w:rFonts w:ascii="Times New Roman;serif" w:hAnsi="Times New Roman;serif"/>
                <w:b w:val="false"/>
                <w:color w:val="000000"/>
                <w:sz w:val="20"/>
              </w:rPr>
              <w:t>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14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731 </w:t>
            </w:r>
          </w:p>
        </w:tc>
        <w:tc>
          <w:tcPr>
            <w:tcW w:w="14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140 </w:t>
            </w:r>
          </w:p>
        </w:tc>
        <w:tc>
          <w:tcPr>
            <w:tcW w:w="12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1,970 </w:t>
            </w:r>
          </w:p>
        </w:tc>
        <w:tc>
          <w:tcPr>
            <w:tcW w:w="17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w:t>
            </w:r>
          </w:p>
        </w:tc>
        <w:tc>
          <w:tcPr>
            <w:tcW w:w="41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Income Tax Provision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8"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180"/>
              <w:jc w:val="left"/>
              <w:rPr>
                <w:rFonts w:ascii="Times New Roman;serif" w:hAnsi="Times New Roman;serif"/>
                <w:b w:val="false"/>
                <w:color w:val="000000"/>
                <w:sz w:val="20"/>
              </w:rPr>
            </w:pPr>
            <w:r>
              <w:rPr>
                <w:rFonts w:ascii="Times New Roman;serif" w:hAnsi="Times New Roman;serif"/>
                <w:b w:val="false"/>
                <w:color w:val="000000"/>
                <w:sz w:val="20"/>
              </w:rPr>
              <w:t>Income Tax Provision per GAAP Statements of</w:t>
            </w:r>
          </w:p>
          <w:p>
            <w:pPr>
              <w:pStyle w:val="TableContents"/>
              <w:bidi w:val="0"/>
              <w:spacing w:lineRule="auto" w:line="240" w:before="0" w:after="0"/>
              <w:ind w:left="0" w:right="0" w:firstLine="450"/>
              <w:jc w:val="left"/>
              <w:rPr>
                <w:color w:val="000000"/>
              </w:rPr>
            </w:pPr>
            <w:r>
              <w:rPr>
                <w:color w:val="000000"/>
              </w:rPr>
              <w:t> </w:t>
            </w:r>
            <w:r>
              <w:rPr>
                <w:rFonts w:ascii="Times New Roman;serif" w:hAnsi="Times New Roman;serif"/>
                <w:b w:val="false"/>
                <w:color w:val="000000"/>
                <w:sz w:val="20"/>
              </w:rPr>
              <w:t>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(3,145)</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(6,171)</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c>
          <w:tcPr>
            <w:tcW w:w="41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(Benefit) Provision - Excluded from FFO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2,300 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5,408 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c>
          <w:tcPr>
            <w:tcW w:w="41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Provision - Allocable to FFO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8"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w:t>
            </w:r>
          </w:p>
        </w:tc>
        <w:tc>
          <w:tcPr>
            <w:tcW w:w="145"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8"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(449)</w:t>
            </w:r>
          </w:p>
        </w:tc>
        <w:tc>
          <w:tcPr>
            <w:tcW w:w="145"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8"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(845)</w:t>
            </w:r>
          </w:p>
        </w:tc>
        <w:tc>
          <w:tcPr>
            <w:tcW w:w="120"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6"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(763)</w:t>
            </w:r>
          </w:p>
        </w:tc>
        <w:tc>
          <w:tcPr>
            <w:tcW w:w="177"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20"/>
        <w:jc w:val="both"/>
        <w:rPr/>
      </w:pPr>
      <w:r>
        <w:rPr>
          <w:rFonts w:ascii="Times New Roman;serif" w:hAnsi="Times New Roman;serif"/>
          <w:b/>
          <w:color w:val="000000"/>
          <w:sz w:val="20"/>
        </w:rPr>
        <w:t>(d)</w:t>
      </w:r>
      <w:r>
        <w:rPr>
          <w:color w:val="000000"/>
        </w:rPr>
        <w:t xml:space="preserve"> </w:t>
      </w:r>
      <w:r>
        <w:rPr>
          <w:rFonts w:ascii="Times New Roman;serif" w:hAnsi="Times New Roman;serif"/>
          <w:b w:val="false"/>
          <w:color w:val="000000"/>
          <w:sz w:val="20"/>
        </w:rPr>
        <w:t>Investors and analysts in the real estate industry commonly use funds from operations ("FFO"), net operating income ("NOI"), adjusted EBITDA and adjusted funds from operations ("AFFO") as supplemental performance measures. While we consider net income, as defined by GAAP, the most appropriate measure of our financial performance, we acknowledge the relevance and widespread use of these supplemental performance measures for evaluating performance and financial position in the real estate industry. FFO principally adjusts for the effects of GAAP depreciation and amortization of real estate assets to account for the inherent assumption that real estate asset values rise or fall with market conditions. NOI provides a measure of rental operations, and does not factor in depreciation and amortization and non-property specific expenses such as general and administrative expenses. Adjusted EBITDA further evaluates the ability to incur and service debt, fund dividends and meet other cash obligations. AFFO provides a tool to further evaluate the ability to fund dividends, adjusting for additional factors such as straight-line rent and certain capital expenditures.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These supplemental performance measures are commonly used in various financial analyses including ratio calculations, pricing multiples/yields and returns and valuation metrics used to measure financial position, performance and value. We calculate our supplemental measures as follows:</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color w:val="000000"/>
          <w:sz w:val="20"/>
        </w:rPr>
        <w:t>FFO</w:t>
      </w:r>
      <w:r>
        <w:rPr>
          <w:color w:val="000000"/>
        </w:rPr>
        <w:t xml:space="preserve"> </w:t>
      </w:r>
      <w:r>
        <w:rPr>
          <w:rFonts w:ascii="Times New Roman;serif" w:hAnsi="Times New Roman;serif"/>
          <w:b w:val="false"/>
          <w:color w:val="000000"/>
          <w:sz w:val="20"/>
        </w:rPr>
        <w:t>is calculated as net income available to common stockholders, unitholders and participating securities, plus depreciation and other amortization of real estate, plus impairment of real estate, minus gain (or plus loss) on sale of real estate, adjusted for any associated income tax provisions or benefits. Similar adjustments are made for our share of net income from an unconsolidated joint venture. This calculation methodology is in accordance with the NAREIT definition of FFO.</w:t>
      </w:r>
    </w:p>
    <w:p>
      <w:pPr>
        <w:pStyle w:val="TextBody"/>
        <w:bidi w:val="0"/>
        <w:spacing w:lineRule="auto" w:line="288" w:before="0" w:after="0"/>
        <w:jc w:val="both"/>
        <w:rPr/>
      </w:pPr>
      <w:r>
        <w:rPr>
          <w:rFonts w:ascii="Times New Roman;serif" w:hAnsi="Times New Roman;serif"/>
          <w:b/>
          <w:color w:val="000000"/>
          <w:sz w:val="20"/>
        </w:rPr>
        <w:t>NOI</w:t>
      </w:r>
      <w:r>
        <w:rPr>
          <w:color w:val="000000"/>
        </w:rPr>
        <w:t xml:space="preserve"> </w:t>
      </w:r>
      <w:r>
        <w:rPr>
          <w:rFonts w:ascii="Times New Roman;serif" w:hAnsi="Times New Roman;serif"/>
          <w:b w:val="false"/>
          <w:color w:val="000000"/>
          <w:sz w:val="20"/>
        </w:rPr>
        <w:t xml:space="preserve">is calculated as total property revenues minus property expenses such as real estate taxes, repairs and maintenance, property management, utilities, insurance and other expenses. </w:t>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75260"/>
                <wp:effectExtent l="0" t="0" r="0" b="0"/>
                <wp:wrapNone/>
                <wp:docPr id="11" name="Frame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4"/>
                              </w:rPr>
                            </w:pPr>
                            <w:r>
                              <w:rPr>
                                <w:rFonts w:ascii="Times New Roman;serif" w:hAnsi="Times New Roman;serif"/>
                                <w:b w:val="false"/>
                                <w:color w:val="000000"/>
                                <w:sz w:val="24"/>
                              </w:rPr>
                              <w:t>&lt; more &gt;</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4"/>
                        </w:rPr>
                      </w:pPr>
                      <w:r>
                        <w:rPr>
                          <w:rFonts w:ascii="Times New Roman;serif" w:hAnsi="Times New Roman;serif"/>
                          <w:b w:val="false"/>
                          <w:color w:val="000000"/>
                          <w:sz w:val="24"/>
                        </w:rPr>
                        <w:t>&lt; more &gt;</w:t>
                      </w:r>
                    </w:p>
                  </w:txbxContent>
                </v:textbox>
                <w10:wrap type="none"/>
              </v:rect>
            </w:pict>
          </mc:Fallback>
        </mc:AlternateContent>
      </w:r>
    </w:p>
    <w:p>
      <w:pPr>
        <w:pStyle w:val="TextBody"/>
        <w:bidi w:val="0"/>
        <w:spacing w:lineRule="auto" w:line="288" w:before="0" w:after="0"/>
        <w:jc w:val="both"/>
        <w:rPr/>
      </w:pPr>
      <w:r>
        <w:rPr>
          <w:rFonts w:ascii="Times New Roman;serif" w:hAnsi="Times New Roman;serif"/>
          <w:b/>
          <w:color w:val="000000"/>
          <w:sz w:val="20"/>
        </w:rPr>
        <w:t>Adjusted EBITDA</w:t>
      </w:r>
      <w:r>
        <w:rPr>
          <w:color w:val="000000"/>
        </w:rPr>
        <w:t xml:space="preserve"> </w:t>
      </w:r>
      <w:r>
        <w:rPr>
          <w:rFonts w:ascii="Times New Roman;serif" w:hAnsi="Times New Roman;serif"/>
          <w:b w:val="false"/>
          <w:color w:val="000000"/>
          <w:sz w:val="20"/>
        </w:rPr>
        <w:t xml:space="preserve">is calculated as NOI plus equity in FFO from our investment in joint venture (net of noncontrolling interest) and minus general and administrative expenses.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0"/>
        </w:rPr>
        <w:t>AFFO</w:t>
      </w:r>
      <w:r>
        <w:rPr>
          <w:color w:val="000000"/>
        </w:rPr>
        <w:t xml:space="preserve"> </w:t>
      </w:r>
      <w:r>
        <w:rPr>
          <w:rFonts w:ascii="Times New Roman;serif" w:hAnsi="Times New Roman;serif"/>
          <w:b w:val="false"/>
          <w:color w:val="000000"/>
          <w:sz w:val="20"/>
        </w:rPr>
        <w:t>is calculated as adjusted EBITDA minus interest expense, capitalized interest and overhead, plus amortization of debt discounts and hedge costs, minus straight-line rent, amortization of above (below) market leases, lease inducements and provision for income taxes allocable to FFO or plus income tax benefit allocable to FFO, plus amortization of equity based compensation and minus non-incremental capital expenditures. Non-incremental capital expenditures refer to building improvements and leasing costs required to maintain current revenues plus tenant improvements amortized back to the tenant over the lease term. Excluded are first generation leasing costs, capital expenditures underwritten at acquisition and development/redevelopment costs.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FFO, NOI, adjusted EBITDA and AFFO do not represent cash generated from operating activities in accordance with GAAP and are not necessarily indicative of cash available for debt repayment or dividend payments. They should not be considered substitutes of GAAP measures such as net income, cash flows or liquidity measures. Furthermore, the methodologies used to calculate these measures may vary across real estate companies, limiting comparability.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consider cash basis same store NOI ("SS NOI") to be a useful supplemental measure of our operating performance. We believe SS NOI enhances the comparability of a company's real estate portfolio to that of other real estate companies. Same store properties are properties that were owned and placed in service prior to January 1, 2025 and held as an in service property through the end of the current reporting period including certain income-producing land parcels, and developments and redevelopments that were placed in service prior to January 1, 2025 (the "Same Store Pool"). Properties acquired with occupancy of at least 75% at acquisition are placed in service, unless we anticipate tenant move-outs within two years of ownership would reduce occupancy below 75%, in which case such properties are placed in service upon the earlier of reaching 90% occupancy or twelve months after tenant move out. Properties acquired with less than 75% occupancy are placed in service upon the earlier of reaching 90% occupancy or one year following acquisition. Developments, redevelopments and acquired income-producing land parcels for which our ultimate intent is to redevelop or develop are placed in service upon the earlier of reaching 90% occupancy or one year after construction completion.</w:t>
      </w:r>
    </w:p>
    <w:p>
      <w:pPr>
        <w:pStyle w:val="TextBody"/>
        <w:bidi w:val="0"/>
        <w:spacing w:before="0" w:after="0"/>
        <w:jc w:val="both"/>
        <w:rPr/>
      </w:pPr>
      <w:r>
        <w:rPr/>
      </w:r>
    </w:p>
    <w:p>
      <w:pPr>
        <w:pStyle w:val="TextBody"/>
        <w:bidi w:val="0"/>
        <w:spacing w:lineRule="auto" w:line="288"/>
        <w:jc w:val="both"/>
        <w:rPr>
          <w:rFonts w:ascii="Times New Roman;serif" w:hAnsi="Times New Roman;serif"/>
          <w:b w:val="false"/>
          <w:color w:val="000000"/>
          <w:sz w:val="20"/>
        </w:rPr>
      </w:pPr>
      <w:r>
        <w:rPr>
          <w:rFonts w:ascii="Times New Roman;serif" w:hAnsi="Times New Roman;serif"/>
          <w:b w:val="false"/>
          <w:color w:val="000000"/>
          <w:sz w:val="20"/>
        </w:rPr>
        <w:t>We define SS NOI as NOI, less NOI from properties not in the Same Store Pool, and further adjusted to exclude the impact of straight-line rent, the amortization of above (below) market rent and the impact of lease termination fees. These items are excluded because we believe excluding them provides a more meaningful reflection of cash-basis rental growth and allows for a more consistent year-over-year analysis of property-level performance. SS NOI does not reflect general and administrative expense, interest expense, depreciation and amortization, income tax benefit and expense, gains and losses on the sale of real estate, equity in income or loss from joint venture, joint venture fees, joint venture development services expense, capital expenditures and leasing costs. SS NOI should not be considered an alternative to net income or cash flows from operations as defined by GAAP, nor should it be used as a substitute in evaluating our liquidity or overall operating performance. Additionally, our method for calculating SS NOI may differ from the methods used by other real estate companies, limiting comparability.</w:t>
      </w:r>
    </w:p>
    <w:p>
      <w:pPr>
        <w:pStyle w:val="TextBody"/>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75260"/>
                <wp:effectExtent l="0" t="0" r="0" b="0"/>
                <wp:wrapNone/>
                <wp:docPr id="12" name="Frame1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4316</Words>
  <Characters>24511</Characters>
  <CharactersWithSpaces>28711</CharactersWithSpaces>
  <Paragraphs>739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